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938BD" w14:textId="0A6D6A7F" w:rsidR="00584C38" w:rsidRPr="003C6CE9" w:rsidRDefault="00584C38" w:rsidP="00584C38">
      <w:pPr>
        <w:pStyle w:val="Heading2"/>
      </w:pPr>
      <w:r w:rsidRPr="003C6CE9">
        <w:t xml:space="preserve">Appendix 2. </w:t>
      </w:r>
      <w:r w:rsidRPr="00584C38">
        <w:t xml:space="preserve"> Overview of socio-economic situation, health system characteristics and NCD profile in the three study settings</w:t>
      </w:r>
    </w:p>
    <w:p w14:paraId="33C50A46" w14:textId="157F405A" w:rsidR="00584C38" w:rsidRPr="003C6CE9" w:rsidRDefault="00584C38" w:rsidP="00584C38">
      <w:pPr>
        <w:pStyle w:val="Heading4-fortables-figures"/>
      </w:pPr>
      <w:r w:rsidRPr="003C6CE9">
        <w:t xml:space="preserve"> </w:t>
      </w:r>
    </w:p>
    <w:tbl>
      <w:tblPr>
        <w:tblStyle w:val="TableGrid"/>
        <w:tblW w:w="9158" w:type="dxa"/>
        <w:tblLayout w:type="fixed"/>
        <w:tblLook w:val="04A0" w:firstRow="1" w:lastRow="0" w:firstColumn="1" w:lastColumn="0" w:noHBand="0" w:noVBand="1"/>
      </w:tblPr>
      <w:tblGrid>
        <w:gridCol w:w="2405"/>
        <w:gridCol w:w="2268"/>
        <w:gridCol w:w="2268"/>
        <w:gridCol w:w="2217"/>
      </w:tblGrid>
      <w:tr w:rsidR="00584C38" w:rsidRPr="003C6CE9" w14:paraId="6FA10578" w14:textId="77777777" w:rsidTr="002D071A">
        <w:trPr>
          <w:trHeight w:val="345"/>
        </w:trPr>
        <w:tc>
          <w:tcPr>
            <w:tcW w:w="2405" w:type="dxa"/>
          </w:tcPr>
          <w:p w14:paraId="2927FEAA" w14:textId="77777777" w:rsidR="00584C38" w:rsidRPr="003C6CE9" w:rsidRDefault="00584C38" w:rsidP="002D071A">
            <w:pPr>
              <w:rPr>
                <w:sz w:val="20"/>
                <w:szCs w:val="18"/>
              </w:rPr>
            </w:pPr>
          </w:p>
        </w:tc>
        <w:tc>
          <w:tcPr>
            <w:tcW w:w="2268" w:type="dxa"/>
          </w:tcPr>
          <w:p w14:paraId="7E61946C" w14:textId="77777777" w:rsidR="00584C38" w:rsidRPr="003C6CE9" w:rsidRDefault="00584C38" w:rsidP="002D071A">
            <w:pPr>
              <w:rPr>
                <w:b/>
                <w:bCs/>
                <w:sz w:val="20"/>
                <w:szCs w:val="18"/>
              </w:rPr>
            </w:pPr>
            <w:r w:rsidRPr="003C6CE9">
              <w:rPr>
                <w:b/>
                <w:bCs/>
                <w:sz w:val="20"/>
                <w:szCs w:val="18"/>
              </w:rPr>
              <w:t>Cambodia</w:t>
            </w:r>
          </w:p>
        </w:tc>
        <w:tc>
          <w:tcPr>
            <w:tcW w:w="2268" w:type="dxa"/>
          </w:tcPr>
          <w:p w14:paraId="0087FD2E" w14:textId="77777777" w:rsidR="00584C38" w:rsidRPr="003C6CE9" w:rsidRDefault="00584C38" w:rsidP="002D071A">
            <w:pPr>
              <w:rPr>
                <w:b/>
                <w:bCs/>
                <w:sz w:val="20"/>
                <w:szCs w:val="18"/>
              </w:rPr>
            </w:pPr>
            <w:r w:rsidRPr="003C6CE9">
              <w:rPr>
                <w:b/>
                <w:bCs/>
                <w:sz w:val="20"/>
                <w:szCs w:val="18"/>
              </w:rPr>
              <w:t xml:space="preserve">Slovenia </w:t>
            </w:r>
          </w:p>
        </w:tc>
        <w:tc>
          <w:tcPr>
            <w:tcW w:w="2217" w:type="dxa"/>
          </w:tcPr>
          <w:p w14:paraId="7C08909E" w14:textId="77777777" w:rsidR="00584C38" w:rsidRPr="003C6CE9" w:rsidRDefault="00584C38" w:rsidP="002D071A">
            <w:pPr>
              <w:rPr>
                <w:b/>
                <w:bCs/>
                <w:sz w:val="20"/>
                <w:szCs w:val="18"/>
              </w:rPr>
            </w:pPr>
            <w:r w:rsidRPr="003C6CE9">
              <w:rPr>
                <w:b/>
                <w:bCs/>
                <w:sz w:val="20"/>
                <w:szCs w:val="18"/>
              </w:rPr>
              <w:t>Belgium</w:t>
            </w:r>
          </w:p>
        </w:tc>
      </w:tr>
      <w:tr w:rsidR="00584C38" w:rsidRPr="003C6CE9" w14:paraId="4AF87777" w14:textId="77777777" w:rsidTr="002D071A">
        <w:tc>
          <w:tcPr>
            <w:tcW w:w="9158" w:type="dxa"/>
            <w:gridSpan w:val="4"/>
            <w:shd w:val="clear" w:color="auto" w:fill="E7E6E6" w:themeFill="background2"/>
          </w:tcPr>
          <w:p w14:paraId="0F5BAC95" w14:textId="77777777" w:rsidR="00584C38" w:rsidRPr="003C6CE9" w:rsidRDefault="00584C38" w:rsidP="002D071A">
            <w:pPr>
              <w:rPr>
                <w:b/>
                <w:bCs/>
                <w:sz w:val="20"/>
                <w:szCs w:val="18"/>
              </w:rPr>
            </w:pPr>
            <w:r w:rsidRPr="003C6CE9">
              <w:rPr>
                <w:b/>
                <w:bCs/>
                <w:sz w:val="20"/>
                <w:szCs w:val="18"/>
              </w:rPr>
              <w:t>Governance</w:t>
            </w:r>
          </w:p>
        </w:tc>
      </w:tr>
      <w:tr w:rsidR="00584C38" w:rsidRPr="003C6CE9" w14:paraId="43B748A8" w14:textId="77777777" w:rsidTr="002D071A">
        <w:tc>
          <w:tcPr>
            <w:tcW w:w="2405" w:type="dxa"/>
          </w:tcPr>
          <w:p w14:paraId="390BF7EF" w14:textId="77777777" w:rsidR="00584C38" w:rsidRPr="003C6CE9" w:rsidRDefault="00584C38" w:rsidP="00584C38">
            <w:pPr>
              <w:pStyle w:val="ListParagraph"/>
              <w:numPr>
                <w:ilvl w:val="0"/>
                <w:numId w:val="1"/>
              </w:numPr>
              <w:rPr>
                <w:sz w:val="20"/>
                <w:szCs w:val="18"/>
              </w:rPr>
            </w:pPr>
            <w:r w:rsidRPr="003C6CE9">
              <w:rPr>
                <w:sz w:val="20"/>
                <w:szCs w:val="18"/>
              </w:rPr>
              <w:t>Government type</w:t>
            </w:r>
          </w:p>
        </w:tc>
        <w:tc>
          <w:tcPr>
            <w:tcW w:w="2268" w:type="dxa"/>
          </w:tcPr>
          <w:p w14:paraId="1B334E4A" w14:textId="77777777" w:rsidR="00584C38" w:rsidRPr="003C6CE9" w:rsidRDefault="00584C38" w:rsidP="002D071A">
            <w:pPr>
              <w:rPr>
                <w:sz w:val="20"/>
                <w:szCs w:val="18"/>
              </w:rPr>
            </w:pPr>
            <w:r w:rsidRPr="003C6CE9">
              <w:rPr>
                <w:sz w:val="20"/>
                <w:szCs w:val="18"/>
              </w:rPr>
              <w:t xml:space="preserve">Sovereign state, a unitary dominant-party parliamentary elective constitutional monarchy </w:t>
            </w:r>
          </w:p>
        </w:tc>
        <w:tc>
          <w:tcPr>
            <w:tcW w:w="2268" w:type="dxa"/>
          </w:tcPr>
          <w:p w14:paraId="1A4F24C8" w14:textId="77777777" w:rsidR="00584C38" w:rsidRPr="003C6CE9" w:rsidRDefault="00584C38" w:rsidP="002D071A">
            <w:pPr>
              <w:rPr>
                <w:sz w:val="20"/>
                <w:szCs w:val="18"/>
              </w:rPr>
            </w:pPr>
            <w:r w:rsidRPr="003C6CE9">
              <w:rPr>
                <w:sz w:val="20"/>
                <w:szCs w:val="18"/>
              </w:rPr>
              <w:t xml:space="preserve">Unitary parliamentary (post-socialist) democratic republic </w:t>
            </w:r>
          </w:p>
        </w:tc>
        <w:tc>
          <w:tcPr>
            <w:tcW w:w="2217" w:type="dxa"/>
          </w:tcPr>
          <w:p w14:paraId="6942D376" w14:textId="77777777" w:rsidR="00584C38" w:rsidRPr="003C6CE9" w:rsidRDefault="00584C38" w:rsidP="002D071A">
            <w:pPr>
              <w:rPr>
                <w:sz w:val="20"/>
                <w:szCs w:val="18"/>
              </w:rPr>
            </w:pPr>
            <w:r w:rsidRPr="003C6CE9">
              <w:rPr>
                <w:sz w:val="20"/>
                <w:szCs w:val="18"/>
              </w:rPr>
              <w:t>Federal parliamentary democracy</w:t>
            </w:r>
            <w:r>
              <w:rPr>
                <w:sz w:val="20"/>
                <w:szCs w:val="18"/>
              </w:rPr>
              <w:t xml:space="preserve"> </w:t>
            </w:r>
            <w:r w:rsidRPr="003C6CE9">
              <w:rPr>
                <w:sz w:val="20"/>
                <w:szCs w:val="18"/>
              </w:rPr>
              <w:t>under a constitutional monarchy</w:t>
            </w:r>
          </w:p>
        </w:tc>
      </w:tr>
      <w:tr w:rsidR="00584C38" w:rsidRPr="003C6CE9" w14:paraId="2407136B" w14:textId="77777777" w:rsidTr="002D071A">
        <w:tc>
          <w:tcPr>
            <w:tcW w:w="2405" w:type="dxa"/>
          </w:tcPr>
          <w:p w14:paraId="696B395C" w14:textId="77777777" w:rsidR="00584C38" w:rsidRPr="003C6CE9" w:rsidRDefault="00584C38" w:rsidP="00584C38">
            <w:pPr>
              <w:pStyle w:val="ListParagraph"/>
              <w:numPr>
                <w:ilvl w:val="0"/>
                <w:numId w:val="1"/>
              </w:numPr>
              <w:rPr>
                <w:sz w:val="20"/>
                <w:szCs w:val="18"/>
              </w:rPr>
            </w:pPr>
            <w:r w:rsidRPr="003C6CE9">
              <w:rPr>
                <w:sz w:val="20"/>
                <w:szCs w:val="18"/>
              </w:rPr>
              <w:t>Country wealth</w:t>
            </w:r>
          </w:p>
        </w:tc>
        <w:tc>
          <w:tcPr>
            <w:tcW w:w="2268" w:type="dxa"/>
          </w:tcPr>
          <w:p w14:paraId="51846094" w14:textId="77777777" w:rsidR="00584C38" w:rsidRPr="003C6CE9" w:rsidRDefault="00584C38" w:rsidP="002D071A">
            <w:pPr>
              <w:rPr>
                <w:sz w:val="20"/>
                <w:szCs w:val="18"/>
              </w:rPr>
            </w:pPr>
            <w:r w:rsidRPr="003C6CE9">
              <w:rPr>
                <w:sz w:val="20"/>
                <w:szCs w:val="18"/>
              </w:rPr>
              <w:t>Lower</w:t>
            </w:r>
            <w:r>
              <w:rPr>
                <w:sz w:val="20"/>
                <w:szCs w:val="18"/>
              </w:rPr>
              <w:t>-</w:t>
            </w:r>
            <w:r w:rsidRPr="003C6CE9">
              <w:rPr>
                <w:sz w:val="20"/>
                <w:szCs w:val="18"/>
              </w:rPr>
              <w:t>middle income</w:t>
            </w:r>
          </w:p>
        </w:tc>
        <w:tc>
          <w:tcPr>
            <w:tcW w:w="2268" w:type="dxa"/>
          </w:tcPr>
          <w:p w14:paraId="5E79E5A8" w14:textId="77777777" w:rsidR="00584C38" w:rsidRPr="003C6CE9" w:rsidRDefault="00584C38" w:rsidP="002D071A">
            <w:pPr>
              <w:rPr>
                <w:sz w:val="20"/>
                <w:szCs w:val="18"/>
              </w:rPr>
            </w:pPr>
            <w:r w:rsidRPr="003C6CE9">
              <w:rPr>
                <w:sz w:val="20"/>
                <w:szCs w:val="18"/>
              </w:rPr>
              <w:t>High income</w:t>
            </w:r>
          </w:p>
        </w:tc>
        <w:tc>
          <w:tcPr>
            <w:tcW w:w="2217" w:type="dxa"/>
          </w:tcPr>
          <w:p w14:paraId="056C3A59" w14:textId="77777777" w:rsidR="00584C38" w:rsidRPr="003C6CE9" w:rsidRDefault="00584C38" w:rsidP="002D071A">
            <w:pPr>
              <w:rPr>
                <w:sz w:val="20"/>
                <w:szCs w:val="18"/>
              </w:rPr>
            </w:pPr>
            <w:r w:rsidRPr="003C6CE9">
              <w:rPr>
                <w:sz w:val="20"/>
                <w:szCs w:val="18"/>
              </w:rPr>
              <w:t>High income</w:t>
            </w:r>
          </w:p>
        </w:tc>
      </w:tr>
      <w:tr w:rsidR="00584C38" w:rsidRPr="003C6CE9" w14:paraId="3951721F" w14:textId="77777777" w:rsidTr="002D071A">
        <w:tc>
          <w:tcPr>
            <w:tcW w:w="2405" w:type="dxa"/>
          </w:tcPr>
          <w:p w14:paraId="3E80B45B" w14:textId="77777777" w:rsidR="00584C38" w:rsidRPr="003C6CE9" w:rsidRDefault="00584C38" w:rsidP="00584C38">
            <w:pPr>
              <w:pStyle w:val="ListParagraph"/>
              <w:numPr>
                <w:ilvl w:val="0"/>
                <w:numId w:val="1"/>
              </w:numPr>
              <w:rPr>
                <w:sz w:val="20"/>
                <w:szCs w:val="18"/>
              </w:rPr>
            </w:pPr>
            <w:r w:rsidRPr="003C6CE9">
              <w:rPr>
                <w:sz w:val="20"/>
                <w:szCs w:val="18"/>
              </w:rPr>
              <w:t>Regional organisation</w:t>
            </w:r>
          </w:p>
        </w:tc>
        <w:tc>
          <w:tcPr>
            <w:tcW w:w="2268" w:type="dxa"/>
          </w:tcPr>
          <w:p w14:paraId="6A93E1A5" w14:textId="77777777" w:rsidR="00584C38" w:rsidRPr="003C6CE9" w:rsidRDefault="00584C38" w:rsidP="002D071A">
            <w:pPr>
              <w:rPr>
                <w:sz w:val="20"/>
                <w:szCs w:val="18"/>
              </w:rPr>
            </w:pPr>
            <w:r w:rsidRPr="003C6CE9">
              <w:rPr>
                <w:sz w:val="20"/>
                <w:szCs w:val="18"/>
              </w:rPr>
              <w:t>25 provinces (first-level administrative division), subdivided into 159 districts and 26 municipalities (second-level administrative divisions)</w:t>
            </w:r>
          </w:p>
        </w:tc>
        <w:tc>
          <w:tcPr>
            <w:tcW w:w="2268" w:type="dxa"/>
          </w:tcPr>
          <w:p w14:paraId="464467EF" w14:textId="240A6C30" w:rsidR="00584C38" w:rsidRPr="003C6CE9" w:rsidRDefault="00584C38" w:rsidP="00621D9C">
            <w:pPr>
              <w:rPr>
                <w:sz w:val="20"/>
                <w:szCs w:val="18"/>
              </w:rPr>
            </w:pPr>
            <w:r w:rsidRPr="003C6CE9">
              <w:rPr>
                <w:sz w:val="20"/>
                <w:szCs w:val="18"/>
              </w:rPr>
              <w:t xml:space="preserve">62 administrative districts or units as subdivisions of national government administration and 212 municipalities (including 12 urban municipalities) as sole bodies of local autonomy, with no intermediate level between municipalities and the Republic of Slovenia </w:t>
            </w:r>
            <w:r>
              <w:rPr>
                <w:sz w:val="20"/>
                <w:szCs w:val="18"/>
              </w:rPr>
              <w:fldChar w:fldCharType="begin"/>
            </w:r>
            <w:r w:rsidR="00F10FFB">
              <w:rPr>
                <w:sz w:val="20"/>
                <w:szCs w:val="18"/>
              </w:rPr>
              <w:instrText xml:space="preserve"> ADDIN EN.CITE &lt;EndNote&gt;&lt;Cite&gt;&lt;Author&gt;European Observatory on Health Systems and Policies&lt;/Author&gt;&lt;Year&gt;2021&lt;/Year&gt;&lt;RecNum&gt;55&lt;/RecNum&gt;&lt;DisplayText&gt;[1]&lt;/DisplayText&gt;&lt;record&gt;&lt;rec-number&gt;55&lt;/rec-number&gt;&lt;foreign-keys&gt;&lt;key app="EN" db-id="dtax9522bvxwaoet2d3vfdzgvs5zee0022ap"&gt;55&lt;/key&gt;&lt;/foreign-keys&gt;&lt;ref-type name="Web Page"&gt;12&lt;/ref-type&gt;&lt;contributors&gt;&lt;authors&gt;&lt;author&gt;European Observatory on Health Systems and Policies,&lt;/author&gt;&lt;/authors&gt;&lt;/contributors&gt;&lt;titles&gt;&lt;title&gt;Slovenia: health system review 2021&lt;/title&gt;&lt;/titles&gt;&lt;number&gt;1 April 2023&lt;/number&gt;&lt;dates&gt;&lt;year&gt;2021&lt;/year&gt;&lt;/dates&gt;&lt;urls&gt;&lt;related-urls&gt;&lt;url&gt;https://eurohealthobservatory.who.int/publications/i/slovenia-health-system-review-2021&lt;/url&gt;&lt;/related-urls&gt;&lt;/urls&gt;&lt;/record&gt;&lt;/Cite&gt;&lt;/EndNote&gt;</w:instrText>
            </w:r>
            <w:r>
              <w:rPr>
                <w:sz w:val="20"/>
                <w:szCs w:val="18"/>
              </w:rPr>
              <w:fldChar w:fldCharType="separate"/>
            </w:r>
            <w:r w:rsidR="00F10FFB">
              <w:rPr>
                <w:noProof/>
                <w:sz w:val="20"/>
                <w:szCs w:val="18"/>
              </w:rPr>
              <w:t>[</w:t>
            </w:r>
            <w:hyperlink w:anchor="_ENREF_1" w:tooltip="European Observatory on Health Systems and Policies, 2021 #55" w:history="1">
              <w:r w:rsidR="00621D9C">
                <w:rPr>
                  <w:noProof/>
                  <w:sz w:val="20"/>
                  <w:szCs w:val="18"/>
                </w:rPr>
                <w:t>1</w:t>
              </w:r>
            </w:hyperlink>
            <w:r w:rsidR="00F10FFB">
              <w:rPr>
                <w:noProof/>
                <w:sz w:val="20"/>
                <w:szCs w:val="18"/>
              </w:rPr>
              <w:t>]</w:t>
            </w:r>
            <w:r>
              <w:rPr>
                <w:sz w:val="20"/>
                <w:szCs w:val="18"/>
              </w:rPr>
              <w:fldChar w:fldCharType="end"/>
            </w:r>
            <w:r w:rsidRPr="003C6CE9">
              <w:rPr>
                <w:sz w:val="20"/>
                <w:szCs w:val="18"/>
              </w:rPr>
              <w:t xml:space="preserve"> </w:t>
            </w:r>
          </w:p>
        </w:tc>
        <w:tc>
          <w:tcPr>
            <w:tcW w:w="2217" w:type="dxa"/>
          </w:tcPr>
          <w:p w14:paraId="4954125E" w14:textId="5F8CBEFE" w:rsidR="00584C38" w:rsidRPr="003C6CE9" w:rsidRDefault="00584C38" w:rsidP="00621D9C">
            <w:pPr>
              <w:rPr>
                <w:sz w:val="20"/>
                <w:szCs w:val="18"/>
              </w:rPr>
            </w:pPr>
            <w:r w:rsidRPr="003C6CE9">
              <w:rPr>
                <w:sz w:val="20"/>
                <w:szCs w:val="18"/>
              </w:rPr>
              <w:t>There are three levels of power in Belgium comprising the Federal authorities, Federated entities (three</w:t>
            </w:r>
            <w:r>
              <w:rPr>
                <w:sz w:val="20"/>
                <w:szCs w:val="18"/>
              </w:rPr>
              <w:t xml:space="preserve"> </w:t>
            </w:r>
            <w:r w:rsidRPr="003C6CE9">
              <w:rPr>
                <w:sz w:val="20"/>
                <w:szCs w:val="18"/>
              </w:rPr>
              <w:t>regions based on territory and three communities based on language – Dutch, French</w:t>
            </w:r>
            <w:r>
              <w:rPr>
                <w:sz w:val="20"/>
                <w:szCs w:val="18"/>
              </w:rPr>
              <w:t>,</w:t>
            </w:r>
            <w:r w:rsidRPr="003C6CE9">
              <w:rPr>
                <w:sz w:val="20"/>
                <w:szCs w:val="18"/>
              </w:rPr>
              <w:t xml:space="preserve"> and German) and</w:t>
            </w:r>
            <w:r>
              <w:rPr>
                <w:sz w:val="20"/>
                <w:szCs w:val="18"/>
              </w:rPr>
              <w:t xml:space="preserve"> </w:t>
            </w:r>
            <w:r w:rsidRPr="003C6CE9">
              <w:rPr>
                <w:sz w:val="20"/>
                <w:szCs w:val="18"/>
              </w:rPr>
              <w:t xml:space="preserve">local authorities (provinces and municipalities) </w:t>
            </w:r>
            <w:r>
              <w:rPr>
                <w:sz w:val="20"/>
                <w:szCs w:val="18"/>
              </w:rPr>
              <w:fldChar w:fldCharType="begin"/>
            </w:r>
            <w:r w:rsidR="00F10FFB">
              <w:rPr>
                <w:sz w:val="20"/>
                <w:szCs w:val="18"/>
              </w:rPr>
              <w:instrText xml:space="preserve"> ADDIN EN.CITE &lt;EndNote&gt;&lt;Cite&gt;&lt;Author&gt;European Observatory on Health Systems and Policies&lt;/Author&gt;&lt;Year&gt;2021&lt;/Year&gt;&lt;RecNum&gt;56&lt;/RecNum&gt;&lt;DisplayText&gt;[2]&lt;/DisplayText&gt;&lt;record&gt;&lt;rec-number&gt;56&lt;/rec-number&gt;&lt;foreign-keys&gt;&lt;key app="EN" db-id="dtax9522bvxwaoet2d3vfdzgvs5zee0022ap"&gt;56&lt;/key&gt;&lt;/foreign-keys&gt;&lt;ref-type name="Web Page"&gt;12&lt;/ref-type&gt;&lt;contributors&gt;&lt;authors&gt;&lt;author&gt;European Observatory on Health Systems and Policies,&lt;/author&gt;&lt;/authors&gt;&lt;/contributors&gt;&lt;titles&gt;&lt;title&gt;Belgium: health system summary&lt;/title&gt;&lt;/titles&gt;&lt;number&gt;1 April 2023&lt;/number&gt;&lt;dates&gt;&lt;year&gt;2021&lt;/year&gt;&lt;/dates&gt;&lt;urls&gt;&lt;related-urls&gt;&lt;url&gt;https://eurohealthobservatory.who.int/publications/i/belgium-health-system-summary&lt;/url&gt;&lt;/related-urls&gt;&lt;/urls&gt;&lt;/record&gt;&lt;/Cite&gt;&lt;/EndNote&gt;</w:instrText>
            </w:r>
            <w:r>
              <w:rPr>
                <w:sz w:val="20"/>
                <w:szCs w:val="18"/>
              </w:rPr>
              <w:fldChar w:fldCharType="separate"/>
            </w:r>
            <w:r w:rsidR="00F10FFB">
              <w:rPr>
                <w:noProof/>
                <w:sz w:val="20"/>
                <w:szCs w:val="18"/>
              </w:rPr>
              <w:t>[</w:t>
            </w:r>
            <w:hyperlink w:anchor="_ENREF_2" w:tooltip="European Observatory on Health Systems and Policies, 2021 #56" w:history="1">
              <w:r w:rsidR="00621D9C">
                <w:rPr>
                  <w:noProof/>
                  <w:sz w:val="20"/>
                  <w:szCs w:val="18"/>
                </w:rPr>
                <w:t>2</w:t>
              </w:r>
            </w:hyperlink>
            <w:r w:rsidR="00F10FFB">
              <w:rPr>
                <w:noProof/>
                <w:sz w:val="20"/>
                <w:szCs w:val="18"/>
              </w:rPr>
              <w:t>]</w:t>
            </w:r>
            <w:r>
              <w:rPr>
                <w:sz w:val="20"/>
                <w:szCs w:val="18"/>
              </w:rPr>
              <w:fldChar w:fldCharType="end"/>
            </w:r>
          </w:p>
        </w:tc>
      </w:tr>
      <w:tr w:rsidR="00584C38" w:rsidRPr="003C6CE9" w14:paraId="37BEAF00" w14:textId="77777777" w:rsidTr="002D071A">
        <w:tc>
          <w:tcPr>
            <w:tcW w:w="9158" w:type="dxa"/>
            <w:gridSpan w:val="4"/>
            <w:shd w:val="clear" w:color="auto" w:fill="E7E6E6" w:themeFill="background2"/>
          </w:tcPr>
          <w:p w14:paraId="0493DE2A" w14:textId="77777777" w:rsidR="00584C38" w:rsidRPr="003C6CE9" w:rsidRDefault="00584C38" w:rsidP="002D071A">
            <w:pPr>
              <w:rPr>
                <w:sz w:val="20"/>
                <w:szCs w:val="18"/>
              </w:rPr>
            </w:pPr>
            <w:r w:rsidRPr="003C6CE9">
              <w:rPr>
                <w:b/>
                <w:bCs/>
                <w:sz w:val="20"/>
                <w:szCs w:val="18"/>
              </w:rPr>
              <w:t>Socio-economic profile</w:t>
            </w:r>
          </w:p>
        </w:tc>
      </w:tr>
      <w:tr w:rsidR="00584C38" w:rsidRPr="003C6CE9" w14:paraId="6C59351A" w14:textId="77777777" w:rsidTr="002D071A">
        <w:tc>
          <w:tcPr>
            <w:tcW w:w="2405" w:type="dxa"/>
          </w:tcPr>
          <w:p w14:paraId="294C6041" w14:textId="6FF093BD" w:rsidR="00584C38" w:rsidRPr="003C6CE9" w:rsidRDefault="00584C38" w:rsidP="00621D9C">
            <w:pPr>
              <w:pStyle w:val="ListParagraph"/>
              <w:numPr>
                <w:ilvl w:val="0"/>
                <w:numId w:val="1"/>
              </w:numPr>
              <w:rPr>
                <w:color w:val="C00000"/>
                <w:sz w:val="20"/>
                <w:szCs w:val="18"/>
              </w:rPr>
            </w:pPr>
            <w:r w:rsidRPr="003C6CE9">
              <w:rPr>
                <w:sz w:val="20"/>
                <w:szCs w:val="18"/>
              </w:rPr>
              <w:t xml:space="preserve">GDP/Capita in 2021 </w:t>
            </w:r>
            <w:r>
              <w:rPr>
                <w:sz w:val="20"/>
                <w:szCs w:val="18"/>
              </w:rPr>
              <w:fldChar w:fldCharType="begin"/>
            </w:r>
            <w:r w:rsidR="00F10FFB">
              <w:rPr>
                <w:sz w:val="20"/>
                <w:szCs w:val="18"/>
              </w:rPr>
              <w:instrText xml:space="preserve"> ADDIN EN.CITE &lt;EndNote&gt;&lt;Cite&gt;&lt;Author&gt;World Bank&lt;/Author&gt;&lt;Year&gt;2022&lt;/Year&gt;&lt;RecNum&gt;57&lt;/RecNum&gt;&lt;DisplayText&gt;[3]&lt;/DisplayText&gt;&lt;record&gt;&lt;rec-number&gt;57&lt;/rec-number&gt;&lt;foreign-keys&gt;&lt;key app="EN" db-id="dtax9522bvxwaoet2d3vfdzgvs5zee0022ap"&gt;57&lt;/key&gt;&lt;/foreign-keys&gt;&lt;ref-type name="Web Page"&gt;12&lt;/ref-type&gt;&lt;contributors&gt;&lt;authors&gt;&lt;author&gt;World Bank,&lt;/author&gt;&lt;/authors&gt;&lt;/contributors&gt;&lt;titles&gt;&lt;title&gt;GDP per capita (current US$) | Data&lt;/title&gt;&lt;/titles&gt;&lt;number&gt;1 April 2023&lt;/number&gt;&lt;dates&gt;&lt;year&gt;2022&lt;/year&gt;&lt;/dates&gt;&lt;publisher&gt;World Bank Open Data&lt;/publisher&gt;&lt;urls&gt;&lt;related-urls&gt;&lt;url&gt;https://data.worldbank.org/indicator/NY.GDP.PCAP.CD&lt;/url&gt;&lt;/related-urls&gt;&lt;/urls&gt;&lt;/record&gt;&lt;/Cite&gt;&lt;/EndNote&gt;</w:instrText>
            </w:r>
            <w:r>
              <w:rPr>
                <w:sz w:val="20"/>
                <w:szCs w:val="18"/>
              </w:rPr>
              <w:fldChar w:fldCharType="separate"/>
            </w:r>
            <w:r w:rsidR="00F10FFB">
              <w:rPr>
                <w:noProof/>
                <w:sz w:val="20"/>
                <w:szCs w:val="18"/>
              </w:rPr>
              <w:t>[</w:t>
            </w:r>
            <w:hyperlink w:anchor="_ENREF_3" w:tooltip="World Bank, 2022 #57" w:history="1">
              <w:r w:rsidR="00621D9C">
                <w:rPr>
                  <w:noProof/>
                  <w:sz w:val="20"/>
                  <w:szCs w:val="18"/>
                </w:rPr>
                <w:t>3</w:t>
              </w:r>
            </w:hyperlink>
            <w:r w:rsidR="00F10FFB">
              <w:rPr>
                <w:noProof/>
                <w:sz w:val="20"/>
                <w:szCs w:val="18"/>
              </w:rPr>
              <w:t>]</w:t>
            </w:r>
            <w:r>
              <w:rPr>
                <w:sz w:val="20"/>
                <w:szCs w:val="18"/>
              </w:rPr>
              <w:fldChar w:fldCharType="end"/>
            </w:r>
            <w:r w:rsidRPr="003C6CE9">
              <w:rPr>
                <w:sz w:val="20"/>
                <w:szCs w:val="18"/>
              </w:rPr>
              <w:t xml:space="preserve"> </w:t>
            </w:r>
          </w:p>
        </w:tc>
        <w:tc>
          <w:tcPr>
            <w:tcW w:w="2268" w:type="dxa"/>
          </w:tcPr>
          <w:p w14:paraId="72155B80" w14:textId="77777777" w:rsidR="00584C38" w:rsidRPr="003C6CE9" w:rsidRDefault="00584C38" w:rsidP="002D071A">
            <w:pPr>
              <w:rPr>
                <w:sz w:val="20"/>
                <w:szCs w:val="18"/>
              </w:rPr>
            </w:pPr>
            <w:r w:rsidRPr="003C6CE9">
              <w:rPr>
                <w:sz w:val="20"/>
                <w:szCs w:val="18"/>
              </w:rPr>
              <w:t>1,661.7 USD</w:t>
            </w:r>
          </w:p>
        </w:tc>
        <w:tc>
          <w:tcPr>
            <w:tcW w:w="2268" w:type="dxa"/>
          </w:tcPr>
          <w:p w14:paraId="38643F0D" w14:textId="77777777" w:rsidR="00584C38" w:rsidRPr="003C6CE9" w:rsidRDefault="00584C38" w:rsidP="002D071A">
            <w:pPr>
              <w:rPr>
                <w:sz w:val="20"/>
                <w:szCs w:val="18"/>
              </w:rPr>
            </w:pPr>
            <w:r w:rsidRPr="003C6CE9">
              <w:rPr>
                <w:sz w:val="20"/>
                <w:szCs w:val="18"/>
              </w:rPr>
              <w:t xml:space="preserve">29,200.8 USD </w:t>
            </w:r>
          </w:p>
        </w:tc>
        <w:tc>
          <w:tcPr>
            <w:tcW w:w="2217" w:type="dxa"/>
          </w:tcPr>
          <w:p w14:paraId="78D3B1CE" w14:textId="77777777" w:rsidR="00584C38" w:rsidRPr="003C6CE9" w:rsidRDefault="00584C38" w:rsidP="002D071A">
            <w:pPr>
              <w:rPr>
                <w:sz w:val="20"/>
                <w:szCs w:val="18"/>
              </w:rPr>
            </w:pPr>
            <w:r w:rsidRPr="003C6CE9">
              <w:rPr>
                <w:sz w:val="20"/>
                <w:szCs w:val="18"/>
              </w:rPr>
              <w:t>51,767.8 USD</w:t>
            </w:r>
          </w:p>
        </w:tc>
      </w:tr>
      <w:tr w:rsidR="00584C38" w:rsidRPr="003C6CE9" w14:paraId="5CAF0238" w14:textId="77777777" w:rsidTr="002D071A">
        <w:tc>
          <w:tcPr>
            <w:tcW w:w="2405" w:type="dxa"/>
          </w:tcPr>
          <w:p w14:paraId="35571DA8" w14:textId="614D82DA" w:rsidR="00584C38" w:rsidRPr="003C6CE9" w:rsidRDefault="00584C38" w:rsidP="00621D9C">
            <w:pPr>
              <w:pStyle w:val="ListParagraph"/>
              <w:numPr>
                <w:ilvl w:val="0"/>
                <w:numId w:val="1"/>
              </w:numPr>
              <w:rPr>
                <w:sz w:val="20"/>
                <w:szCs w:val="18"/>
              </w:rPr>
            </w:pPr>
            <w:r w:rsidRPr="003C6CE9">
              <w:rPr>
                <w:sz w:val="20"/>
                <w:szCs w:val="18"/>
              </w:rPr>
              <w:t xml:space="preserve">GDP growth rate in 2021 </w:t>
            </w:r>
            <w:r>
              <w:rPr>
                <w:sz w:val="20"/>
                <w:szCs w:val="18"/>
              </w:rPr>
              <w:fldChar w:fldCharType="begin"/>
            </w:r>
            <w:r w:rsidR="00F10FFB">
              <w:rPr>
                <w:sz w:val="20"/>
                <w:szCs w:val="18"/>
              </w:rPr>
              <w:instrText xml:space="preserve"> ADDIN EN.CITE &lt;EndNote&gt;&lt;Cite&gt;&lt;Author&gt;World Bank&lt;/Author&gt;&lt;Year&gt;2022&lt;/Year&gt;&lt;RecNum&gt;58&lt;/RecNum&gt;&lt;DisplayText&gt;[4]&lt;/DisplayText&gt;&lt;record&gt;&lt;rec-number&gt;58&lt;/rec-number&gt;&lt;foreign-keys&gt;&lt;key app="EN" db-id="dtax9522bvxwaoet2d3vfdzgvs5zee0022ap"&gt;58&lt;/key&gt;&lt;/foreign-keys&gt;&lt;ref-type name="Web Page"&gt;12&lt;/ref-type&gt;&lt;contributors&gt;&lt;authors&gt;&lt;author&gt;World Bank,&lt;/author&gt;&lt;/authors&gt;&lt;/contributors&gt;&lt;titles&gt;&lt;title&gt;GDP growth (annual %) | Data&lt;/title&gt;&lt;/titles&gt;&lt;number&gt;1 April 2023&lt;/number&gt;&lt;dates&gt;&lt;year&gt;2022&lt;/year&gt;&lt;/dates&gt;&lt;publisher&gt;World Bank Open Data&lt;/publisher&gt;&lt;urls&gt;&lt;related-urls&gt;&lt;url&gt;https://data.worldbank.org/indicator/NY.GDP.MKTP.KD.ZG&lt;/url&gt;&lt;/related-urls&gt;&lt;/urls&gt;&lt;/record&gt;&lt;/Cite&gt;&lt;/EndNote&gt;</w:instrText>
            </w:r>
            <w:r>
              <w:rPr>
                <w:sz w:val="20"/>
                <w:szCs w:val="18"/>
              </w:rPr>
              <w:fldChar w:fldCharType="separate"/>
            </w:r>
            <w:r w:rsidR="00F10FFB">
              <w:rPr>
                <w:noProof/>
                <w:sz w:val="20"/>
                <w:szCs w:val="18"/>
              </w:rPr>
              <w:t>[</w:t>
            </w:r>
            <w:hyperlink w:anchor="_ENREF_4" w:tooltip="World Bank, 2022 #58" w:history="1">
              <w:r w:rsidR="00621D9C">
                <w:rPr>
                  <w:noProof/>
                  <w:sz w:val="20"/>
                  <w:szCs w:val="18"/>
                </w:rPr>
                <w:t>4</w:t>
              </w:r>
            </w:hyperlink>
            <w:r w:rsidR="00F10FFB">
              <w:rPr>
                <w:noProof/>
                <w:sz w:val="20"/>
                <w:szCs w:val="18"/>
              </w:rPr>
              <w:t>]</w:t>
            </w:r>
            <w:r>
              <w:rPr>
                <w:sz w:val="20"/>
                <w:szCs w:val="18"/>
              </w:rPr>
              <w:fldChar w:fldCharType="end"/>
            </w:r>
            <w:r w:rsidRPr="003C6CE9">
              <w:rPr>
                <w:sz w:val="20"/>
                <w:szCs w:val="18"/>
              </w:rPr>
              <w:t xml:space="preserve"> </w:t>
            </w:r>
          </w:p>
        </w:tc>
        <w:tc>
          <w:tcPr>
            <w:tcW w:w="2268" w:type="dxa"/>
          </w:tcPr>
          <w:p w14:paraId="6A198F91" w14:textId="77777777" w:rsidR="00584C38" w:rsidRPr="003C6CE9" w:rsidRDefault="00584C38" w:rsidP="002D071A">
            <w:pPr>
              <w:rPr>
                <w:sz w:val="20"/>
                <w:szCs w:val="18"/>
              </w:rPr>
            </w:pPr>
            <w:r w:rsidRPr="003C6CE9">
              <w:rPr>
                <w:sz w:val="20"/>
                <w:szCs w:val="18"/>
              </w:rPr>
              <w:t xml:space="preserve">3.0% </w:t>
            </w:r>
          </w:p>
        </w:tc>
        <w:tc>
          <w:tcPr>
            <w:tcW w:w="2268" w:type="dxa"/>
          </w:tcPr>
          <w:p w14:paraId="71A5B033" w14:textId="77777777" w:rsidR="00584C38" w:rsidRPr="003C6CE9" w:rsidRDefault="00584C38" w:rsidP="002D071A">
            <w:pPr>
              <w:rPr>
                <w:sz w:val="20"/>
                <w:szCs w:val="18"/>
              </w:rPr>
            </w:pPr>
            <w:r w:rsidRPr="003C6CE9">
              <w:rPr>
                <w:sz w:val="20"/>
                <w:szCs w:val="18"/>
              </w:rPr>
              <w:t>8.1%</w:t>
            </w:r>
          </w:p>
        </w:tc>
        <w:tc>
          <w:tcPr>
            <w:tcW w:w="2217" w:type="dxa"/>
          </w:tcPr>
          <w:p w14:paraId="7C657E66" w14:textId="77777777" w:rsidR="00584C38" w:rsidRPr="003C6CE9" w:rsidRDefault="00584C38" w:rsidP="002D071A">
            <w:pPr>
              <w:rPr>
                <w:sz w:val="20"/>
                <w:szCs w:val="18"/>
              </w:rPr>
            </w:pPr>
            <w:r w:rsidRPr="003C6CE9">
              <w:rPr>
                <w:sz w:val="20"/>
                <w:szCs w:val="18"/>
              </w:rPr>
              <w:t xml:space="preserve">6.2% </w:t>
            </w:r>
          </w:p>
        </w:tc>
      </w:tr>
      <w:tr w:rsidR="00584C38" w:rsidRPr="003C6CE9" w14:paraId="1AE6CDCD" w14:textId="77777777" w:rsidTr="002D071A">
        <w:tc>
          <w:tcPr>
            <w:tcW w:w="2405" w:type="dxa"/>
          </w:tcPr>
          <w:p w14:paraId="40F4FF3A" w14:textId="77777777" w:rsidR="00584C38" w:rsidRPr="003C6CE9" w:rsidRDefault="00584C38" w:rsidP="00584C38">
            <w:pPr>
              <w:pStyle w:val="ListParagraph"/>
              <w:numPr>
                <w:ilvl w:val="0"/>
                <w:numId w:val="1"/>
              </w:numPr>
              <w:rPr>
                <w:sz w:val="20"/>
                <w:szCs w:val="18"/>
              </w:rPr>
            </w:pPr>
            <w:r w:rsidRPr="003C6CE9">
              <w:rPr>
                <w:sz w:val="20"/>
                <w:szCs w:val="18"/>
              </w:rPr>
              <w:t>Income inequality (Gini index)</w:t>
            </w:r>
          </w:p>
        </w:tc>
        <w:tc>
          <w:tcPr>
            <w:tcW w:w="2268" w:type="dxa"/>
          </w:tcPr>
          <w:p w14:paraId="11F02898" w14:textId="7F2DDE2E" w:rsidR="00584C38" w:rsidRPr="003C6CE9" w:rsidRDefault="00584C38" w:rsidP="002D071A">
            <w:pPr>
              <w:rPr>
                <w:sz w:val="20"/>
                <w:szCs w:val="18"/>
              </w:rPr>
            </w:pPr>
            <w:r w:rsidRPr="003C6CE9">
              <w:rPr>
                <w:sz w:val="20"/>
                <w:szCs w:val="18"/>
              </w:rPr>
              <w:t>30</w:t>
            </w:r>
            <w:r>
              <w:rPr>
                <w:sz w:val="20"/>
                <w:szCs w:val="18"/>
              </w:rPr>
              <w:t>.</w:t>
            </w:r>
            <w:r w:rsidRPr="003C6CE9">
              <w:rPr>
                <w:sz w:val="20"/>
                <w:szCs w:val="18"/>
              </w:rPr>
              <w:t xml:space="preserve">8 (2012) </w:t>
            </w:r>
            <w:r>
              <w:rPr>
                <w:sz w:val="20"/>
                <w:szCs w:val="18"/>
              </w:rPr>
              <w:fldChar w:fldCharType="begin"/>
            </w:r>
            <w:r w:rsidR="00F10FFB">
              <w:rPr>
                <w:sz w:val="20"/>
                <w:szCs w:val="18"/>
              </w:rPr>
              <w:instrText xml:space="preserve"> ADDIN EN.CITE &lt;EndNote&gt;&lt;Cite&gt;&lt;Author&gt;World Economics&lt;/Author&gt;&lt;Year&gt;2021&lt;/Year&gt;&lt;RecNum&gt;59&lt;/RecNum&gt;&lt;DisplayText&gt;[5]&lt;/DisplayText&gt;&lt;record&gt;&lt;rec-number&gt;59&lt;/rec-number&gt;&lt;foreign-keys&gt;&lt;key app="EN" db-id="dtax9522bvxwaoet2d3vfdzgvs5zee0022ap"&gt;59&lt;/key&gt;&lt;/foreign-keys&gt;&lt;ref-type name="Web Page"&gt;12&lt;/ref-type&gt;&lt;contributors&gt;&lt;authors&gt;&lt;author&gt;World Economics,&lt;/author&gt;&lt;/authors&gt;&lt;/contributors&gt;&lt;titles&gt;&lt;title&gt;Cambodia’s Gini Year&lt;/title&gt;&lt;/titles&gt;&lt;number&gt;1 April 2023&lt;/number&gt;&lt;dates&gt;&lt;year&gt;2021&lt;/year&gt;&lt;/dates&gt;&lt;urls&gt;&lt;related-urls&gt;&lt;url&gt;https://www.worldeconomics.com/Inequality/Gini-Year/Cambodia.aspx&lt;/url&gt;&lt;/related-urls&gt;&lt;/urls&gt;&lt;/record&gt;&lt;/Cite&gt;&lt;/EndNote&gt;</w:instrText>
            </w:r>
            <w:r>
              <w:rPr>
                <w:sz w:val="20"/>
                <w:szCs w:val="18"/>
              </w:rPr>
              <w:fldChar w:fldCharType="separate"/>
            </w:r>
            <w:r w:rsidR="00F10FFB">
              <w:rPr>
                <w:noProof/>
                <w:sz w:val="20"/>
                <w:szCs w:val="18"/>
              </w:rPr>
              <w:t>[</w:t>
            </w:r>
            <w:hyperlink w:anchor="_ENREF_5" w:tooltip="World Economics, 2021 #59" w:history="1">
              <w:r w:rsidR="00621D9C">
                <w:rPr>
                  <w:noProof/>
                  <w:sz w:val="20"/>
                  <w:szCs w:val="18"/>
                </w:rPr>
                <w:t>5</w:t>
              </w:r>
            </w:hyperlink>
            <w:r w:rsidR="00F10FFB">
              <w:rPr>
                <w:noProof/>
                <w:sz w:val="20"/>
                <w:szCs w:val="18"/>
              </w:rPr>
              <w:t>]</w:t>
            </w:r>
            <w:r>
              <w:rPr>
                <w:sz w:val="20"/>
                <w:szCs w:val="18"/>
              </w:rPr>
              <w:fldChar w:fldCharType="end"/>
            </w:r>
            <w:r w:rsidRPr="003C6CE9">
              <w:rPr>
                <w:sz w:val="20"/>
                <w:szCs w:val="18"/>
              </w:rPr>
              <w:t xml:space="preserve"> </w:t>
            </w:r>
          </w:p>
          <w:p w14:paraId="4551FE80" w14:textId="77777777" w:rsidR="00584C38" w:rsidRPr="003C6CE9" w:rsidRDefault="00584C38" w:rsidP="002D071A">
            <w:pPr>
              <w:rPr>
                <w:sz w:val="20"/>
                <w:szCs w:val="18"/>
              </w:rPr>
            </w:pPr>
          </w:p>
        </w:tc>
        <w:tc>
          <w:tcPr>
            <w:tcW w:w="2268" w:type="dxa"/>
          </w:tcPr>
          <w:p w14:paraId="759D3F93" w14:textId="510E6656" w:rsidR="00584C38" w:rsidRPr="003C6CE9" w:rsidRDefault="00584C38" w:rsidP="00621D9C">
            <w:pPr>
              <w:rPr>
                <w:sz w:val="20"/>
                <w:szCs w:val="18"/>
              </w:rPr>
            </w:pPr>
            <w:r w:rsidRPr="003C6CE9">
              <w:rPr>
                <w:sz w:val="20"/>
                <w:szCs w:val="18"/>
              </w:rPr>
              <w:t xml:space="preserve">24.4 (2019) </w:t>
            </w:r>
            <w:r>
              <w:rPr>
                <w:sz w:val="20"/>
                <w:szCs w:val="18"/>
              </w:rPr>
              <w:fldChar w:fldCharType="begin"/>
            </w:r>
            <w:r w:rsidR="00F10FFB">
              <w:rPr>
                <w:sz w:val="20"/>
                <w:szCs w:val="18"/>
              </w:rPr>
              <w:instrText xml:space="preserve"> ADDIN EN.CITE &lt;EndNote&gt;&lt;Cite&gt;&lt;Author&gt;World Bank&lt;/Author&gt;&lt;Year&gt;2022&lt;/Year&gt;&lt;RecNum&gt;60&lt;/RecNum&gt;&lt;DisplayText&gt;[6]&lt;/DisplayText&gt;&lt;record&gt;&lt;rec-number&gt;60&lt;/rec-number&gt;&lt;foreign-keys&gt;&lt;key app="EN" db-id="dtax9522bvxwaoet2d3vfdzgvs5zee0022ap"&gt;60&lt;/key&gt;&lt;/foreign-keys&gt;&lt;ref-type name="Web Page"&gt;12&lt;/ref-type&gt;&lt;contributors&gt;&lt;authors&gt;&lt;author&gt;World Bank,&lt;/author&gt;&lt;/authors&gt;&lt;/contributors&gt;&lt;titles&gt;&lt;title&gt;Gini index | Data&lt;/title&gt;&lt;/titles&gt;&lt;number&gt;1 April 2023&lt;/number&gt;&lt;dates&gt;&lt;year&gt;2022&lt;/year&gt;&lt;/dates&gt;&lt;publisher&gt;World Bank Open Data&lt;/publisher&gt;&lt;urls&gt;&lt;related-urls&gt;&lt;url&gt;https://data.worldbank.org/indicator/SI.POV.GINI?name_desc=false&lt;/url&gt;&lt;/related-urls&gt;&lt;/urls&gt;&lt;/record&gt;&lt;/Cite&gt;&lt;/EndNote&gt;</w:instrText>
            </w:r>
            <w:r>
              <w:rPr>
                <w:sz w:val="20"/>
                <w:szCs w:val="18"/>
              </w:rPr>
              <w:fldChar w:fldCharType="separate"/>
            </w:r>
            <w:r w:rsidR="00F10FFB">
              <w:rPr>
                <w:noProof/>
                <w:sz w:val="20"/>
                <w:szCs w:val="18"/>
              </w:rPr>
              <w:t>[</w:t>
            </w:r>
            <w:hyperlink w:anchor="_ENREF_6" w:tooltip="World Bank, 2022 #60" w:history="1">
              <w:r w:rsidR="00621D9C">
                <w:rPr>
                  <w:noProof/>
                  <w:sz w:val="20"/>
                  <w:szCs w:val="18"/>
                </w:rPr>
                <w:t>6</w:t>
              </w:r>
            </w:hyperlink>
            <w:r w:rsidR="00F10FFB">
              <w:rPr>
                <w:noProof/>
                <w:sz w:val="20"/>
                <w:szCs w:val="18"/>
              </w:rPr>
              <w:t>]</w:t>
            </w:r>
            <w:r>
              <w:rPr>
                <w:sz w:val="20"/>
                <w:szCs w:val="18"/>
              </w:rPr>
              <w:fldChar w:fldCharType="end"/>
            </w:r>
          </w:p>
        </w:tc>
        <w:tc>
          <w:tcPr>
            <w:tcW w:w="2217" w:type="dxa"/>
          </w:tcPr>
          <w:p w14:paraId="2C9CEAC2" w14:textId="525BF2CC" w:rsidR="00584C38" w:rsidRPr="003C6CE9" w:rsidRDefault="00584C38" w:rsidP="00621D9C">
            <w:pPr>
              <w:rPr>
                <w:sz w:val="20"/>
                <w:szCs w:val="18"/>
              </w:rPr>
            </w:pPr>
            <w:r w:rsidRPr="003C6CE9">
              <w:rPr>
                <w:sz w:val="20"/>
                <w:szCs w:val="18"/>
              </w:rPr>
              <w:t xml:space="preserve">27.2 (2019) </w:t>
            </w:r>
            <w:r>
              <w:rPr>
                <w:sz w:val="20"/>
                <w:szCs w:val="18"/>
              </w:rPr>
              <w:fldChar w:fldCharType="begin"/>
            </w:r>
            <w:r w:rsidR="00F10FFB">
              <w:rPr>
                <w:sz w:val="20"/>
                <w:szCs w:val="18"/>
              </w:rPr>
              <w:instrText xml:space="preserve"> ADDIN EN.CITE &lt;EndNote&gt;&lt;Cite&gt;&lt;Author&gt;World Bank&lt;/Author&gt;&lt;Year&gt;2022&lt;/Year&gt;&lt;RecNum&gt;60&lt;/RecNum&gt;&lt;DisplayText&gt;[6]&lt;/DisplayText&gt;&lt;record&gt;&lt;rec-number&gt;60&lt;/rec-number&gt;&lt;foreign-keys&gt;&lt;key app="EN" db-id="dtax9522bvxwaoet2d3vfdzgvs5zee0022ap"&gt;60&lt;/key&gt;&lt;/foreign-keys&gt;&lt;ref-type name="Web Page"&gt;12&lt;/ref-type&gt;&lt;contributors&gt;&lt;authors&gt;&lt;author&gt;World Bank,&lt;/author&gt;&lt;/authors&gt;&lt;/contributors&gt;&lt;titles&gt;&lt;title&gt;Gini index | Data&lt;/title&gt;&lt;/titles&gt;&lt;number&gt;1 April 2023&lt;/number&gt;&lt;dates&gt;&lt;year&gt;2022&lt;/year&gt;&lt;/dates&gt;&lt;publisher&gt;World Bank Open Data&lt;/publisher&gt;&lt;urls&gt;&lt;related-urls&gt;&lt;url&gt;https://data.worldbank.org/indicator/SI.POV.GINI?name_desc=false&lt;/url&gt;&lt;/related-urls&gt;&lt;/urls&gt;&lt;/record&gt;&lt;/Cite&gt;&lt;/EndNote&gt;</w:instrText>
            </w:r>
            <w:r>
              <w:rPr>
                <w:sz w:val="20"/>
                <w:szCs w:val="18"/>
              </w:rPr>
              <w:fldChar w:fldCharType="separate"/>
            </w:r>
            <w:r w:rsidR="00F10FFB">
              <w:rPr>
                <w:noProof/>
                <w:sz w:val="20"/>
                <w:szCs w:val="18"/>
              </w:rPr>
              <w:t>[</w:t>
            </w:r>
            <w:hyperlink w:anchor="_ENREF_6" w:tooltip="World Bank, 2022 #60" w:history="1">
              <w:r w:rsidR="00621D9C">
                <w:rPr>
                  <w:noProof/>
                  <w:sz w:val="20"/>
                  <w:szCs w:val="18"/>
                </w:rPr>
                <w:t>6</w:t>
              </w:r>
            </w:hyperlink>
            <w:r w:rsidR="00F10FFB">
              <w:rPr>
                <w:noProof/>
                <w:sz w:val="20"/>
                <w:szCs w:val="18"/>
              </w:rPr>
              <w:t>]</w:t>
            </w:r>
            <w:r>
              <w:rPr>
                <w:sz w:val="20"/>
                <w:szCs w:val="18"/>
              </w:rPr>
              <w:fldChar w:fldCharType="end"/>
            </w:r>
            <w:r w:rsidRPr="003C6CE9">
              <w:rPr>
                <w:sz w:val="20"/>
                <w:szCs w:val="18"/>
              </w:rPr>
              <w:fldChar w:fldCharType="begin" w:fldLock="1"/>
            </w:r>
            <w:r w:rsidRPr="003C6CE9">
              <w:rPr>
                <w:sz w:val="20"/>
                <w:szCs w:val="18"/>
              </w:rPr>
              <w:instrText>ADDIN CSL_CITATION {"citationItems":[{"id":"ITEM-1","itemData":{"URL":"https://data.worldbank.org/indicator/SI.POV.GINI?name_desc=false","accessed":{"date-parts":[["2022","8","4"]]},"author":[{"dropping-particle":"","family":"World Bank","given":"","non-dropping-particle":"","parse-names":false,"suffix":""}],"container-title":"World Bank Open Data","id":"ITEM-1","issued":{"date-parts":[["2022"]]},"title":"Gini index | Data","type":"webpage"},"uris":["http://www.mendeley.com/documents/?uuid=c5d66d51-194d-3aca-b951-3782c2dc6622"]}],"mendeley":{"formattedCitation":"[39]","plainTextFormattedCitation":"[39]","previouslyFormattedCitation":"[39]"},"properties":{"noteIndex":0},"schema":"https://github.com/citation-style-language/schema/raw/master/csl-citation.json"}</w:instrText>
            </w:r>
            <w:r w:rsidRPr="003C6CE9">
              <w:rPr>
                <w:sz w:val="20"/>
                <w:szCs w:val="18"/>
              </w:rPr>
              <w:fldChar w:fldCharType="end"/>
            </w:r>
          </w:p>
        </w:tc>
      </w:tr>
      <w:tr w:rsidR="00584C38" w:rsidRPr="003C6CE9" w14:paraId="2ADAA499" w14:textId="77777777" w:rsidTr="002D071A">
        <w:tc>
          <w:tcPr>
            <w:tcW w:w="2405" w:type="dxa"/>
          </w:tcPr>
          <w:p w14:paraId="2371E33A" w14:textId="160D4C74" w:rsidR="00584C38" w:rsidRPr="003C6CE9" w:rsidRDefault="00584C38" w:rsidP="00621D9C">
            <w:pPr>
              <w:pStyle w:val="ListParagraph"/>
              <w:numPr>
                <w:ilvl w:val="0"/>
                <w:numId w:val="1"/>
              </w:numPr>
              <w:rPr>
                <w:sz w:val="20"/>
                <w:szCs w:val="18"/>
              </w:rPr>
            </w:pPr>
            <w:r w:rsidRPr="003C6CE9">
              <w:rPr>
                <w:sz w:val="20"/>
                <w:szCs w:val="18"/>
              </w:rPr>
              <w:t xml:space="preserve">Poverty rate </w:t>
            </w:r>
            <w:r>
              <w:rPr>
                <w:sz w:val="20"/>
                <w:szCs w:val="18"/>
              </w:rPr>
              <w:fldChar w:fldCharType="begin"/>
            </w:r>
            <w:r w:rsidR="00F10FFB">
              <w:rPr>
                <w:sz w:val="20"/>
                <w:szCs w:val="18"/>
              </w:rPr>
              <w:instrText xml:space="preserve"> ADDIN EN.CITE &lt;EndNote&gt;&lt;Cite&gt;&lt;Author&gt;World Bank&lt;/Author&gt;&lt;Year&gt;2022&lt;/Year&gt;&lt;RecNum&gt;61&lt;/RecNum&gt;&lt;DisplayText&gt;[7]&lt;/DisplayText&gt;&lt;record&gt;&lt;rec-number&gt;61&lt;/rec-number&gt;&lt;foreign-keys&gt;&lt;key app="EN" db-id="dtax9522bvxwaoet2d3vfdzgvs5zee0022ap"&gt;61&lt;/key&gt;&lt;/foreign-keys&gt;&lt;ref-type name="Web Page"&gt;12&lt;/ref-type&gt;&lt;contributors&gt;&lt;authors&gt;&lt;author&gt;World Bank,&lt;/author&gt;&lt;/authors&gt;&lt;/contributors&gt;&lt;titles&gt;&lt;title&gt;Poverty headcount ratio at national poverty lines (% of population) | Data&lt;/title&gt;&lt;/titles&gt;&lt;number&gt;1 April 2023&lt;/number&gt;&lt;dates&gt;&lt;year&gt;2022&lt;/year&gt;&lt;/dates&gt;&lt;publisher&gt;World Bank Open Data&lt;/publisher&gt;&lt;urls&gt;&lt;related-urls&gt;&lt;url&gt;https://data.worldbank.org/indicator/SI.POV.NAHC?name_desc=false&lt;/url&gt;&lt;/related-urls&gt;&lt;/urls&gt;&lt;/record&gt;&lt;/Cite&gt;&lt;/EndNote&gt;</w:instrText>
            </w:r>
            <w:r>
              <w:rPr>
                <w:sz w:val="20"/>
                <w:szCs w:val="18"/>
              </w:rPr>
              <w:fldChar w:fldCharType="separate"/>
            </w:r>
            <w:r w:rsidR="00F10FFB">
              <w:rPr>
                <w:noProof/>
                <w:sz w:val="20"/>
                <w:szCs w:val="18"/>
              </w:rPr>
              <w:t>[</w:t>
            </w:r>
            <w:hyperlink w:anchor="_ENREF_7" w:tooltip="World Bank, 2022 #61" w:history="1">
              <w:r w:rsidR="00621D9C">
                <w:rPr>
                  <w:noProof/>
                  <w:sz w:val="20"/>
                  <w:szCs w:val="18"/>
                </w:rPr>
                <w:t>7</w:t>
              </w:r>
            </w:hyperlink>
            <w:r w:rsidR="00F10FFB">
              <w:rPr>
                <w:noProof/>
                <w:sz w:val="20"/>
                <w:szCs w:val="18"/>
              </w:rPr>
              <w:t>]</w:t>
            </w:r>
            <w:r>
              <w:rPr>
                <w:sz w:val="20"/>
                <w:szCs w:val="18"/>
              </w:rPr>
              <w:fldChar w:fldCharType="end"/>
            </w:r>
          </w:p>
        </w:tc>
        <w:tc>
          <w:tcPr>
            <w:tcW w:w="2268" w:type="dxa"/>
          </w:tcPr>
          <w:p w14:paraId="6326F2EC" w14:textId="77777777" w:rsidR="00584C38" w:rsidRPr="003C6CE9" w:rsidRDefault="00584C38" w:rsidP="002D071A">
            <w:pPr>
              <w:rPr>
                <w:sz w:val="20"/>
                <w:szCs w:val="18"/>
              </w:rPr>
            </w:pPr>
            <w:r w:rsidRPr="003C6CE9">
              <w:rPr>
                <w:sz w:val="20"/>
                <w:szCs w:val="18"/>
              </w:rPr>
              <w:t>17</w:t>
            </w:r>
            <w:r>
              <w:rPr>
                <w:sz w:val="20"/>
                <w:szCs w:val="18"/>
              </w:rPr>
              <w:t>.</w:t>
            </w:r>
            <w:r w:rsidRPr="003C6CE9">
              <w:rPr>
                <w:sz w:val="20"/>
                <w:szCs w:val="18"/>
              </w:rPr>
              <w:t>7% (2012)</w:t>
            </w:r>
          </w:p>
        </w:tc>
        <w:tc>
          <w:tcPr>
            <w:tcW w:w="2268" w:type="dxa"/>
          </w:tcPr>
          <w:p w14:paraId="6842332E" w14:textId="77777777" w:rsidR="00584C38" w:rsidRPr="003C6CE9" w:rsidRDefault="00584C38" w:rsidP="002D071A">
            <w:pPr>
              <w:rPr>
                <w:sz w:val="20"/>
                <w:szCs w:val="18"/>
              </w:rPr>
            </w:pPr>
            <w:r w:rsidRPr="003C6CE9">
              <w:rPr>
                <w:sz w:val="20"/>
                <w:szCs w:val="18"/>
              </w:rPr>
              <w:t>12.4% (2019)</w:t>
            </w:r>
          </w:p>
        </w:tc>
        <w:tc>
          <w:tcPr>
            <w:tcW w:w="2217" w:type="dxa"/>
          </w:tcPr>
          <w:p w14:paraId="4EB257AF" w14:textId="77777777" w:rsidR="00584C38" w:rsidRPr="003C6CE9" w:rsidRDefault="00584C38" w:rsidP="002D071A">
            <w:pPr>
              <w:rPr>
                <w:sz w:val="20"/>
                <w:szCs w:val="18"/>
              </w:rPr>
            </w:pPr>
            <w:r w:rsidRPr="003C6CE9">
              <w:rPr>
                <w:sz w:val="20"/>
                <w:szCs w:val="18"/>
              </w:rPr>
              <w:t>14.1% (2019)</w:t>
            </w:r>
          </w:p>
        </w:tc>
      </w:tr>
      <w:tr w:rsidR="00584C38" w:rsidRPr="003C6CE9" w14:paraId="3359906D" w14:textId="77777777" w:rsidTr="002D071A">
        <w:tc>
          <w:tcPr>
            <w:tcW w:w="9158" w:type="dxa"/>
            <w:gridSpan w:val="4"/>
            <w:shd w:val="clear" w:color="auto" w:fill="E7E6E6" w:themeFill="background2"/>
          </w:tcPr>
          <w:p w14:paraId="20E95B20" w14:textId="77777777" w:rsidR="00584C38" w:rsidRPr="003C6CE9" w:rsidRDefault="00584C38" w:rsidP="002D071A">
            <w:pPr>
              <w:rPr>
                <w:sz w:val="20"/>
                <w:szCs w:val="18"/>
              </w:rPr>
            </w:pPr>
            <w:r w:rsidRPr="003C6CE9">
              <w:rPr>
                <w:b/>
                <w:bCs/>
                <w:sz w:val="20"/>
                <w:szCs w:val="18"/>
              </w:rPr>
              <w:t>Health system characteristics</w:t>
            </w:r>
          </w:p>
        </w:tc>
      </w:tr>
      <w:tr w:rsidR="00584C38" w:rsidRPr="003C6CE9" w14:paraId="1FADB52D" w14:textId="77777777" w:rsidTr="002D071A">
        <w:tc>
          <w:tcPr>
            <w:tcW w:w="2405" w:type="dxa"/>
          </w:tcPr>
          <w:p w14:paraId="0E06691D" w14:textId="77777777" w:rsidR="00584C38" w:rsidRPr="003C6CE9" w:rsidRDefault="00584C38" w:rsidP="00584C38">
            <w:pPr>
              <w:pStyle w:val="ListParagraph"/>
              <w:numPr>
                <w:ilvl w:val="0"/>
                <w:numId w:val="1"/>
              </w:numPr>
              <w:rPr>
                <w:sz w:val="20"/>
                <w:szCs w:val="18"/>
              </w:rPr>
            </w:pPr>
            <w:r w:rsidRPr="003C6CE9">
              <w:rPr>
                <w:sz w:val="20"/>
                <w:szCs w:val="18"/>
              </w:rPr>
              <w:t>Health system organisation</w:t>
            </w:r>
          </w:p>
        </w:tc>
        <w:tc>
          <w:tcPr>
            <w:tcW w:w="2268" w:type="dxa"/>
          </w:tcPr>
          <w:p w14:paraId="26FB23E6" w14:textId="77777777" w:rsidR="00584C38" w:rsidRPr="003C6CE9" w:rsidRDefault="00584C38" w:rsidP="002D071A">
            <w:pPr>
              <w:rPr>
                <w:sz w:val="20"/>
                <w:szCs w:val="18"/>
              </w:rPr>
            </w:pPr>
            <w:r w:rsidRPr="003C6CE9">
              <w:rPr>
                <w:sz w:val="20"/>
                <w:szCs w:val="18"/>
              </w:rPr>
              <w:t>Pluralistic–less regulated </w:t>
            </w:r>
            <w:r w:rsidRPr="003C6CE9">
              <w:rPr>
                <w:sz w:val="20"/>
                <w:szCs w:val="20"/>
              </w:rPr>
              <w:t xml:space="preserve">public health system and </w:t>
            </w:r>
            <w:proofErr w:type="gramStart"/>
            <w:r w:rsidRPr="003C6CE9">
              <w:rPr>
                <w:sz w:val="20"/>
                <w:szCs w:val="20"/>
              </w:rPr>
              <w:t>large little</w:t>
            </w:r>
            <w:proofErr w:type="gramEnd"/>
            <w:r w:rsidRPr="003C6CE9">
              <w:rPr>
                <w:sz w:val="20"/>
                <w:szCs w:val="20"/>
              </w:rPr>
              <w:t xml:space="preserve"> regulated private sector</w:t>
            </w:r>
            <w:r>
              <w:rPr>
                <w:sz w:val="20"/>
                <w:szCs w:val="20"/>
              </w:rPr>
              <w:t xml:space="preserve"> </w:t>
            </w:r>
            <w:r w:rsidRPr="003C6CE9">
              <w:rPr>
                <w:sz w:val="20"/>
                <w:szCs w:val="18"/>
              </w:rPr>
              <w:t>(important role of NGOs)</w:t>
            </w:r>
            <w:r w:rsidRPr="003C6CE9">
              <w:rPr>
                <w:sz w:val="20"/>
                <w:szCs w:val="20"/>
              </w:rPr>
              <w:t xml:space="preserve"> </w:t>
            </w:r>
          </w:p>
        </w:tc>
        <w:tc>
          <w:tcPr>
            <w:tcW w:w="2268" w:type="dxa"/>
          </w:tcPr>
          <w:p w14:paraId="0B9D0866" w14:textId="044A390E" w:rsidR="00584C38" w:rsidRPr="003C6CE9" w:rsidRDefault="00584C38" w:rsidP="00621D9C">
            <w:pPr>
              <w:rPr>
                <w:sz w:val="20"/>
                <w:szCs w:val="18"/>
              </w:rPr>
            </w:pPr>
            <w:r w:rsidRPr="003C6CE9">
              <w:rPr>
                <w:sz w:val="20"/>
                <w:szCs w:val="18"/>
              </w:rPr>
              <w:t>Centrali</w:t>
            </w:r>
            <w:r>
              <w:rPr>
                <w:sz w:val="20"/>
                <w:szCs w:val="18"/>
              </w:rPr>
              <w:t>s</w:t>
            </w:r>
            <w:r w:rsidRPr="003C6CE9">
              <w:rPr>
                <w:sz w:val="20"/>
                <w:szCs w:val="18"/>
              </w:rPr>
              <w:t>ed </w:t>
            </w:r>
            <w:r>
              <w:rPr>
                <w:sz w:val="20"/>
                <w:szCs w:val="18"/>
              </w:rPr>
              <w:fldChar w:fldCharType="begin"/>
            </w:r>
            <w:r w:rsidR="00F10FFB">
              <w:rPr>
                <w:sz w:val="20"/>
                <w:szCs w:val="18"/>
              </w:rPr>
              <w:instrText xml:space="preserve"> ADDIN EN.CITE &lt;EndNote&gt;&lt;Cite&gt;&lt;Author&gt;European Observatory on Health Systems and Policies&lt;/Author&gt;&lt;Year&gt;2021&lt;/Year&gt;&lt;RecNum&gt;55&lt;/RecNum&gt;&lt;DisplayText&gt;[1]&lt;/DisplayText&gt;&lt;record&gt;&lt;rec-number&gt;55&lt;/rec-number&gt;&lt;foreign-keys&gt;&lt;key app="EN" db-id="dtax9522bvxwaoet2d3vfdzgvs5zee0022ap"&gt;55&lt;/key&gt;&lt;/foreign-keys&gt;&lt;ref-type name="Web Page"&gt;12&lt;/ref-type&gt;&lt;contributors&gt;&lt;authors&gt;&lt;author&gt;European Observatory on Health Systems and Policies,&lt;/author&gt;&lt;/authors&gt;&lt;/contributors&gt;&lt;titles&gt;&lt;title&gt;Slovenia: health system review 2021&lt;/title&gt;&lt;/titles&gt;&lt;number&gt;1 April 2023&lt;/number&gt;&lt;dates&gt;&lt;year&gt;2021&lt;/year&gt;&lt;/dates&gt;&lt;urls&gt;&lt;related-urls&gt;&lt;url&gt;https://eurohealthobservatory.who.int/publications/i/slovenia-health-system-review-2021&lt;/url&gt;&lt;/related-urls&gt;&lt;/urls&gt;&lt;/record&gt;&lt;/Cite&gt;&lt;/EndNote&gt;</w:instrText>
            </w:r>
            <w:r>
              <w:rPr>
                <w:sz w:val="20"/>
                <w:szCs w:val="18"/>
              </w:rPr>
              <w:fldChar w:fldCharType="separate"/>
            </w:r>
            <w:r w:rsidR="00F10FFB">
              <w:rPr>
                <w:noProof/>
                <w:sz w:val="20"/>
                <w:szCs w:val="18"/>
              </w:rPr>
              <w:t>[</w:t>
            </w:r>
            <w:hyperlink w:anchor="_ENREF_1" w:tooltip="European Observatory on Health Systems and Policies, 2021 #55" w:history="1">
              <w:r w:rsidR="00621D9C">
                <w:rPr>
                  <w:noProof/>
                  <w:sz w:val="20"/>
                  <w:szCs w:val="18"/>
                </w:rPr>
                <w:t>1</w:t>
              </w:r>
            </w:hyperlink>
            <w:r w:rsidR="00F10FFB">
              <w:rPr>
                <w:noProof/>
                <w:sz w:val="20"/>
                <w:szCs w:val="18"/>
              </w:rPr>
              <w:t>]</w:t>
            </w:r>
            <w:r>
              <w:rPr>
                <w:sz w:val="20"/>
                <w:szCs w:val="18"/>
              </w:rPr>
              <w:fldChar w:fldCharType="end"/>
            </w:r>
            <w:r w:rsidRPr="003C6CE9">
              <w:rPr>
                <w:sz w:val="20"/>
                <w:szCs w:val="18"/>
              </w:rPr>
              <w:t xml:space="preserve"> p</w:t>
            </w:r>
            <w:r w:rsidRPr="003C6CE9">
              <w:rPr>
                <w:sz w:val="20"/>
                <w:szCs w:val="20"/>
              </w:rPr>
              <w:t>ublic health system with growing regulated private sector</w:t>
            </w:r>
          </w:p>
        </w:tc>
        <w:tc>
          <w:tcPr>
            <w:tcW w:w="2217" w:type="dxa"/>
          </w:tcPr>
          <w:p w14:paraId="2257DC5E" w14:textId="77777777" w:rsidR="00584C38" w:rsidRPr="003C6CE9" w:rsidRDefault="00584C38" w:rsidP="002D071A">
            <w:pPr>
              <w:rPr>
                <w:sz w:val="20"/>
                <w:szCs w:val="20"/>
              </w:rPr>
            </w:pPr>
            <w:r w:rsidRPr="003C6CE9">
              <w:rPr>
                <w:sz w:val="20"/>
                <w:szCs w:val="18"/>
              </w:rPr>
              <w:t>Federal system, with partially decentrali</w:t>
            </w:r>
            <w:r>
              <w:rPr>
                <w:sz w:val="20"/>
                <w:szCs w:val="18"/>
              </w:rPr>
              <w:t>s</w:t>
            </w:r>
            <w:r w:rsidRPr="003C6CE9">
              <w:rPr>
                <w:sz w:val="20"/>
                <w:szCs w:val="18"/>
              </w:rPr>
              <w:t>ed</w:t>
            </w:r>
            <w:r w:rsidRPr="003C6CE9">
              <w:rPr>
                <w:sz w:val="20"/>
                <w:szCs w:val="18"/>
              </w:rPr>
              <w:br/>
              <w:t>(fragmented) responsibilities, mainly private providers</w:t>
            </w:r>
          </w:p>
        </w:tc>
      </w:tr>
      <w:tr w:rsidR="00584C38" w:rsidRPr="003C6CE9" w14:paraId="22E91428" w14:textId="77777777" w:rsidTr="002D071A">
        <w:tc>
          <w:tcPr>
            <w:tcW w:w="2405" w:type="dxa"/>
          </w:tcPr>
          <w:p w14:paraId="660C4D92" w14:textId="77777777" w:rsidR="00584C38" w:rsidRPr="003C6CE9" w:rsidRDefault="00584C38" w:rsidP="00584C38">
            <w:pPr>
              <w:pStyle w:val="ListParagraph"/>
              <w:numPr>
                <w:ilvl w:val="0"/>
                <w:numId w:val="1"/>
              </w:numPr>
              <w:rPr>
                <w:sz w:val="20"/>
                <w:szCs w:val="18"/>
              </w:rPr>
            </w:pPr>
            <w:r w:rsidRPr="003C6CE9">
              <w:rPr>
                <w:sz w:val="20"/>
                <w:szCs w:val="18"/>
              </w:rPr>
              <w:t>Organisation</w:t>
            </w:r>
          </w:p>
        </w:tc>
        <w:tc>
          <w:tcPr>
            <w:tcW w:w="2268" w:type="dxa"/>
          </w:tcPr>
          <w:p w14:paraId="0108CC29" w14:textId="20578786" w:rsidR="00584C38" w:rsidRPr="003C6CE9" w:rsidRDefault="00584C38" w:rsidP="00621D9C">
            <w:pPr>
              <w:rPr>
                <w:sz w:val="20"/>
                <w:szCs w:val="18"/>
              </w:rPr>
            </w:pPr>
            <w:r w:rsidRPr="003C6CE9">
              <w:rPr>
                <w:sz w:val="20"/>
                <w:szCs w:val="18"/>
              </w:rPr>
              <w:t xml:space="preserve">102 </w:t>
            </w:r>
            <w:r>
              <w:rPr>
                <w:sz w:val="20"/>
                <w:szCs w:val="18"/>
              </w:rPr>
              <w:t>ODs</w:t>
            </w:r>
            <w:r w:rsidRPr="003C6CE9">
              <w:rPr>
                <w:sz w:val="20"/>
                <w:szCs w:val="18"/>
              </w:rPr>
              <w:t xml:space="preserve"> (each serving 100,000</w:t>
            </w:r>
            <w:r w:rsidR="00064C56">
              <w:rPr>
                <w:sz w:val="20"/>
                <w:szCs w:val="18"/>
              </w:rPr>
              <w:t>–</w:t>
            </w:r>
            <w:r w:rsidRPr="003C6CE9">
              <w:rPr>
                <w:sz w:val="20"/>
                <w:szCs w:val="18"/>
              </w:rPr>
              <w:t xml:space="preserve">200,000 people), 9 national hospitals, 25 provincial </w:t>
            </w:r>
            <w:r>
              <w:rPr>
                <w:sz w:val="20"/>
                <w:szCs w:val="18"/>
              </w:rPr>
              <w:t>RHs</w:t>
            </w:r>
            <w:r w:rsidRPr="003C6CE9">
              <w:rPr>
                <w:sz w:val="20"/>
                <w:szCs w:val="18"/>
              </w:rPr>
              <w:t xml:space="preserve">, 89 district </w:t>
            </w:r>
            <w:r>
              <w:rPr>
                <w:sz w:val="20"/>
                <w:szCs w:val="18"/>
              </w:rPr>
              <w:t>RH</w:t>
            </w:r>
            <w:r w:rsidRPr="00FA008E">
              <w:rPr>
                <w:sz w:val="20"/>
                <w:szCs w:val="18"/>
              </w:rPr>
              <w:t xml:space="preserve">s (approx. one for each OD), and 1,205 health centres </w:t>
            </w:r>
            <w:r w:rsidRPr="003C6CE9">
              <w:rPr>
                <w:sz w:val="20"/>
                <w:szCs w:val="18"/>
              </w:rPr>
              <w:t>(covering 8,000</w:t>
            </w:r>
            <w:r w:rsidR="00064C56">
              <w:rPr>
                <w:sz w:val="20"/>
                <w:szCs w:val="18"/>
              </w:rPr>
              <w:t>–</w:t>
            </w:r>
            <w:r w:rsidRPr="003C6CE9">
              <w:rPr>
                <w:sz w:val="20"/>
                <w:szCs w:val="18"/>
              </w:rPr>
              <w:t xml:space="preserve">12,000 people) </w:t>
            </w:r>
            <w:r>
              <w:rPr>
                <w:sz w:val="20"/>
                <w:szCs w:val="18"/>
              </w:rPr>
              <w:fldChar w:fldCharType="begin"/>
            </w:r>
            <w:r w:rsidR="00F10FFB">
              <w:rPr>
                <w:sz w:val="20"/>
                <w:szCs w:val="18"/>
              </w:rPr>
              <w:instrText xml:space="preserve"> ADDIN EN.CITE &lt;EndNote&gt;&lt;Cite&gt;&lt;Author&gt;Ministry of Health - Cambodia&lt;/Author&gt;&lt;Year&gt;2019&lt;/Year&gt;&lt;RecNum&gt;45&lt;/RecNum&gt;&lt;DisplayText&gt;[8, 9]&lt;/DisplayText&gt;&lt;record&gt;&lt;rec-number&gt;45&lt;/rec-number&gt;&lt;foreign-keys&gt;&lt;key app="EN" db-id="dtax9522bvxwaoet2d3vfdzgvs5zee0022ap"&gt;45&lt;/key&gt;&lt;/foreign-keys&gt;&lt;ref-type name="Web Page"&gt;12&lt;/ref-type&gt;&lt;contributors&gt;&lt;authors&gt;&lt;author&gt;Ministry of Health - Cambodia,&lt;/author&gt;&lt;/authors&gt;&lt;/contributors&gt;&lt;titles&gt;&lt;title&gt;National standard operating procedure for diabetes and hypertension management in primary care 2019&lt;/title&gt;&lt;/titles&gt;&lt;number&gt;1 April 2023&lt;/number&gt;&lt;dates&gt;&lt;year&gt;2019&lt;/year&gt;&lt;/dates&gt;&lt;pub-location&gt;Phnom Penh&lt;/pub-location&gt;&lt;publisher&gt;MoH&lt;/publisher&gt;&lt;urls&gt;&lt;related-urls&gt;&lt;url&gt;https://niph.org.kh/niph/uploads/library/pdf/GL240_PEN-SOP_DM_and_HBP_1_APR_2019-EN.pdf&lt;/url&gt;&lt;/related-urls&gt;&lt;/urls&gt;&lt;/record&gt;&lt;/Cite&gt;&lt;Cite&gt;&lt;Author&gt;Ministry of Health - Department of Planning and Health Information - Cambodia&lt;/Author&gt;&lt;Year&gt;2019&lt;/Year&gt;&lt;RecNum&gt;128&lt;/RecNum&gt;&lt;record&gt;&lt;rec-number&gt;128&lt;/rec-number&gt;&lt;foreign-keys&gt;&lt;key app="EN" db-id="dtax9522bvxwaoet2d3vfdzgvs5zee0022ap"&gt;128&lt;/key&gt;&lt;/foreign-keys&gt;&lt;ref-type name="Web Page"&gt;12&lt;/ref-type&gt;&lt;contributors&gt;&lt;authors&gt;&lt;author&gt;Ministry of Health - Department of Planning and Health Information - Cambodia,&lt;/author&gt;&lt;/authors&gt;&lt;/contributors&gt;&lt;titles&gt;&lt;title&gt;Annual Health Sector Progress Report 2018 and Way Forwards for 2019&lt;/title&gt;&lt;/titles&gt;&lt;number&gt;25 April 2023&lt;/number&gt;&lt;dates&gt;&lt;year&gt;2019&lt;/year&gt;&lt;/dates&gt;&lt;urls&gt;&lt;related-urls&gt;&lt;url&gt;http://moh.gov.kh/content/uploads/2017/05/2019_MoH-Final01-Low.pdf&lt;/url&gt;&lt;/related-urls&gt;&lt;/urls&gt;&lt;/record&gt;&lt;/Cite&gt;&lt;/EndNote&gt;</w:instrText>
            </w:r>
            <w:r>
              <w:rPr>
                <w:sz w:val="20"/>
                <w:szCs w:val="18"/>
              </w:rPr>
              <w:fldChar w:fldCharType="separate"/>
            </w:r>
            <w:r w:rsidR="00F10FFB">
              <w:rPr>
                <w:noProof/>
                <w:sz w:val="20"/>
                <w:szCs w:val="18"/>
              </w:rPr>
              <w:t>[</w:t>
            </w:r>
            <w:hyperlink w:anchor="_ENREF_8" w:tooltip="Ministry of Health - Cambodia, 2019 #45" w:history="1">
              <w:r w:rsidR="00621D9C">
                <w:rPr>
                  <w:noProof/>
                  <w:sz w:val="20"/>
                  <w:szCs w:val="18"/>
                </w:rPr>
                <w:t>8</w:t>
              </w:r>
            </w:hyperlink>
            <w:r w:rsidR="00F10FFB">
              <w:rPr>
                <w:noProof/>
                <w:sz w:val="20"/>
                <w:szCs w:val="18"/>
              </w:rPr>
              <w:t xml:space="preserve">, </w:t>
            </w:r>
            <w:hyperlink w:anchor="_ENREF_9" w:tooltip="Ministry of Health - Department of Planning and Health Information - Cambodia, 2019 #128" w:history="1">
              <w:r w:rsidR="00621D9C">
                <w:rPr>
                  <w:noProof/>
                  <w:sz w:val="20"/>
                  <w:szCs w:val="18"/>
                </w:rPr>
                <w:t>9</w:t>
              </w:r>
            </w:hyperlink>
            <w:r w:rsidR="00F10FFB">
              <w:rPr>
                <w:noProof/>
                <w:sz w:val="20"/>
                <w:szCs w:val="18"/>
              </w:rPr>
              <w:t>]</w:t>
            </w:r>
            <w:r>
              <w:rPr>
                <w:sz w:val="20"/>
                <w:szCs w:val="18"/>
              </w:rPr>
              <w:fldChar w:fldCharType="end"/>
            </w:r>
            <w:r w:rsidRPr="003C6CE9">
              <w:rPr>
                <w:sz w:val="20"/>
                <w:szCs w:val="18"/>
              </w:rPr>
              <w:t xml:space="preserve"> </w:t>
            </w:r>
          </w:p>
        </w:tc>
        <w:tc>
          <w:tcPr>
            <w:tcW w:w="2268" w:type="dxa"/>
          </w:tcPr>
          <w:p w14:paraId="498CE682" w14:textId="7286886E" w:rsidR="00584C38" w:rsidRPr="003C6CE9" w:rsidRDefault="00584C38" w:rsidP="00621D9C">
            <w:pPr>
              <w:rPr>
                <w:sz w:val="20"/>
                <w:szCs w:val="18"/>
              </w:rPr>
            </w:pPr>
            <w:r w:rsidRPr="003C6CE9">
              <w:rPr>
                <w:sz w:val="20"/>
                <w:szCs w:val="18"/>
              </w:rPr>
              <w:t>Inpatient hospital care is provided by 30</w:t>
            </w:r>
            <w:r w:rsidR="00064C56">
              <w:rPr>
                <w:sz w:val="20"/>
                <w:szCs w:val="18"/>
              </w:rPr>
              <w:t>—</w:t>
            </w:r>
            <w:r w:rsidRPr="003C6CE9">
              <w:rPr>
                <w:sz w:val="20"/>
                <w:szCs w:val="18"/>
              </w:rPr>
              <w:t>mostly public</w:t>
            </w:r>
            <w:r w:rsidR="00064C56">
              <w:rPr>
                <w:sz w:val="20"/>
                <w:szCs w:val="18"/>
              </w:rPr>
              <w:t>—</w:t>
            </w:r>
            <w:r w:rsidRPr="003C6CE9">
              <w:rPr>
                <w:sz w:val="20"/>
                <w:szCs w:val="18"/>
              </w:rPr>
              <w:t>hospitals, while primary care is mostly provided by a</w:t>
            </w:r>
            <w:r w:rsidRPr="003C6CE9">
              <w:t xml:space="preserve"> </w:t>
            </w:r>
            <w:r w:rsidRPr="003C6CE9">
              <w:rPr>
                <w:sz w:val="20"/>
                <w:szCs w:val="18"/>
              </w:rPr>
              <w:t>network of 63 multidisciplinary community-based primary healthcare centres, owned</w:t>
            </w:r>
            <w:r>
              <w:rPr>
                <w:sz w:val="20"/>
                <w:szCs w:val="18"/>
              </w:rPr>
              <w:t xml:space="preserve"> </w:t>
            </w:r>
            <w:r w:rsidRPr="003C6CE9">
              <w:rPr>
                <w:sz w:val="20"/>
                <w:szCs w:val="18"/>
              </w:rPr>
              <w:t xml:space="preserve">and run by the municipalities </w:t>
            </w:r>
            <w:r>
              <w:rPr>
                <w:sz w:val="20"/>
                <w:szCs w:val="18"/>
              </w:rPr>
              <w:fldChar w:fldCharType="begin"/>
            </w:r>
            <w:r w:rsidR="00F10FFB">
              <w:rPr>
                <w:sz w:val="20"/>
                <w:szCs w:val="18"/>
              </w:rPr>
              <w:instrText xml:space="preserve"> ADDIN EN.CITE &lt;EndNote&gt;&lt;Cite&gt;&lt;Author&gt;European Observatory on Health Systems and Policies&lt;/Author&gt;&lt;Year&gt;2021&lt;/Year&gt;&lt;RecNum&gt;55&lt;/RecNum&gt;&lt;DisplayText&gt;[1, 10]&lt;/DisplayText&gt;&lt;record&gt;&lt;rec-number&gt;55&lt;/rec-number&gt;&lt;foreign-keys&gt;&lt;key app="EN" db-id="dtax9522bvxwaoet2d3vfdzgvs5zee0022ap"&gt;55&lt;/key&gt;&lt;/foreign-keys&gt;&lt;ref-type name="Web Page"&gt;12&lt;/ref-type&gt;&lt;contributors&gt;&lt;authors&gt;&lt;author&gt;European Observatory on Health Systems and Policies,&lt;/author&gt;&lt;/authors&gt;&lt;/contributors&gt;&lt;titles&gt;&lt;title&gt;Slovenia: health system review 2021&lt;/title&gt;&lt;/titles&gt;&lt;number&gt;1 April 2023&lt;/number&gt;&lt;dates&gt;&lt;year&gt;2021&lt;/year&gt;&lt;/dates&gt;&lt;urls&gt;&lt;related-urls&gt;&lt;url&gt;https://eurohealthobservatory.who.int/publications/i/slovenia-health-system-review-2021&lt;/url&gt;&lt;/related-urls&gt;&lt;/urls&gt;&lt;/record&gt;&lt;/Cite&gt;&lt;Cite&gt;&lt;Author&gt;European Observatory on Health Systems and Policies&lt;/Author&gt;&lt;Year&gt;2021&lt;/Year&gt;&lt;RecNum&gt;62&lt;/RecNum&gt;&lt;record&gt;&lt;rec-number&gt;62&lt;/rec-number&gt;&lt;foreign-keys&gt;&lt;key app="EN" db-id="dtax9522bvxwaoet2d3vfdzgvs5zee0022ap"&gt;62&lt;/key&gt;&lt;/foreign-keys&gt;&lt;ref-type name="Web Page"&gt;12&lt;/ref-type&gt;&lt;contributors&gt;&lt;authors&gt;&lt;author&gt;European Observatory on Health Systems and Policies,&lt;/author&gt;&lt;/authors&gt;&lt;/contributors&gt;&lt;titles&gt;&lt;title&gt;Slovenia: health system summary&lt;/title&gt;&lt;/titles&gt;&lt;number&gt;1 April 2023&lt;/number&gt;&lt;dates&gt;&lt;year&gt;2021&lt;/year&gt;&lt;/dates&gt;&lt;urls&gt;&lt;related-urls&gt;&lt;url&gt;https://eurohealthobservatory.who.int/publications/i/slovenia-health-system-summary&lt;/url&gt;&lt;/related-urls&gt;&lt;/urls&gt;&lt;/record&gt;&lt;/Cite&gt;&lt;/EndNote&gt;</w:instrText>
            </w:r>
            <w:r>
              <w:rPr>
                <w:sz w:val="20"/>
                <w:szCs w:val="18"/>
              </w:rPr>
              <w:fldChar w:fldCharType="separate"/>
            </w:r>
            <w:r w:rsidR="00F10FFB">
              <w:rPr>
                <w:noProof/>
                <w:sz w:val="20"/>
                <w:szCs w:val="18"/>
              </w:rPr>
              <w:t>[</w:t>
            </w:r>
            <w:hyperlink w:anchor="_ENREF_1" w:tooltip="European Observatory on Health Systems and Policies, 2021 #55" w:history="1">
              <w:r w:rsidR="00621D9C">
                <w:rPr>
                  <w:noProof/>
                  <w:sz w:val="20"/>
                  <w:szCs w:val="18"/>
                </w:rPr>
                <w:t>1</w:t>
              </w:r>
            </w:hyperlink>
            <w:r w:rsidR="00F10FFB">
              <w:rPr>
                <w:noProof/>
                <w:sz w:val="20"/>
                <w:szCs w:val="18"/>
              </w:rPr>
              <w:t xml:space="preserve">, </w:t>
            </w:r>
            <w:hyperlink w:anchor="_ENREF_10" w:tooltip="European Observatory on Health Systems and Policies, 2021 #62" w:history="1">
              <w:r w:rsidR="00621D9C">
                <w:rPr>
                  <w:noProof/>
                  <w:sz w:val="20"/>
                  <w:szCs w:val="18"/>
                </w:rPr>
                <w:t>10</w:t>
              </w:r>
            </w:hyperlink>
            <w:r w:rsidR="00F10FFB">
              <w:rPr>
                <w:noProof/>
                <w:sz w:val="20"/>
                <w:szCs w:val="18"/>
              </w:rPr>
              <w:t>]</w:t>
            </w:r>
            <w:r>
              <w:rPr>
                <w:sz w:val="20"/>
                <w:szCs w:val="18"/>
              </w:rPr>
              <w:fldChar w:fldCharType="end"/>
            </w:r>
            <w:r w:rsidRPr="003C6CE9">
              <w:rPr>
                <w:sz w:val="20"/>
                <w:szCs w:val="18"/>
              </w:rPr>
              <w:t>, in addition to private facilities contracted by the Health Insurance Institute</w:t>
            </w:r>
          </w:p>
        </w:tc>
        <w:tc>
          <w:tcPr>
            <w:tcW w:w="2217" w:type="dxa"/>
          </w:tcPr>
          <w:p w14:paraId="3D73EA1C" w14:textId="5C1563E5" w:rsidR="00584C38" w:rsidRPr="003C6CE9" w:rsidRDefault="00584C38" w:rsidP="00621D9C">
            <w:pPr>
              <w:rPr>
                <w:sz w:val="20"/>
                <w:szCs w:val="18"/>
              </w:rPr>
            </w:pPr>
            <w:r w:rsidRPr="003C6CE9">
              <w:rPr>
                <w:sz w:val="20"/>
                <w:szCs w:val="18"/>
              </w:rPr>
              <w:t>104 acute care hospitals, 60 psychiatric hospitals, 9</w:t>
            </w:r>
            <w:r>
              <w:rPr>
                <w:sz w:val="20"/>
                <w:szCs w:val="18"/>
              </w:rPr>
              <w:t xml:space="preserve"> </w:t>
            </w:r>
            <w:r w:rsidRPr="003C6CE9">
              <w:rPr>
                <w:sz w:val="20"/>
                <w:szCs w:val="18"/>
              </w:rPr>
              <w:t>speciali</w:t>
            </w:r>
            <w:r>
              <w:rPr>
                <w:sz w:val="20"/>
                <w:szCs w:val="18"/>
              </w:rPr>
              <w:t>s</w:t>
            </w:r>
            <w:r w:rsidRPr="003C6CE9">
              <w:rPr>
                <w:sz w:val="20"/>
                <w:szCs w:val="18"/>
              </w:rPr>
              <w:t>ed or</w:t>
            </w:r>
            <w:r>
              <w:rPr>
                <w:sz w:val="20"/>
                <w:szCs w:val="18"/>
              </w:rPr>
              <w:t xml:space="preserve"> </w:t>
            </w:r>
            <w:r w:rsidRPr="003C6CE9">
              <w:rPr>
                <w:sz w:val="20"/>
                <w:szCs w:val="18"/>
              </w:rPr>
              <w:t xml:space="preserve">geriatric hospitals </w:t>
            </w:r>
            <w:r>
              <w:rPr>
                <w:sz w:val="20"/>
                <w:szCs w:val="18"/>
              </w:rPr>
              <w:fldChar w:fldCharType="begin"/>
            </w:r>
            <w:r w:rsidR="00F10FFB">
              <w:rPr>
                <w:sz w:val="20"/>
                <w:szCs w:val="18"/>
              </w:rPr>
              <w:instrText xml:space="preserve"> ADDIN EN.CITE &lt;EndNote&gt;&lt;Cite&gt;&lt;Author&gt;European Observatory on Health Systems and Policies&lt;/Author&gt;&lt;Year&gt;2021&lt;/Year&gt;&lt;RecNum&gt;56&lt;/RecNum&gt;&lt;DisplayText&gt;[2]&lt;/DisplayText&gt;&lt;record&gt;&lt;rec-number&gt;56&lt;/rec-number&gt;&lt;foreign-keys&gt;&lt;key app="EN" db-id="dtax9522bvxwaoet2d3vfdzgvs5zee0022ap"&gt;56&lt;/key&gt;&lt;/foreign-keys&gt;&lt;ref-type name="Web Page"&gt;12&lt;/ref-type&gt;&lt;contributors&gt;&lt;authors&gt;&lt;author&gt;European Observatory on Health Systems and Policies,&lt;/author&gt;&lt;/authors&gt;&lt;/contributors&gt;&lt;titles&gt;&lt;title&gt;Belgium: health system summary&lt;/title&gt;&lt;/titles&gt;&lt;number&gt;1 April 2023&lt;/number&gt;&lt;dates&gt;&lt;year&gt;2021&lt;/year&gt;&lt;/dates&gt;&lt;urls&gt;&lt;related-urls&gt;&lt;url&gt;https://eurohealthobservatory.who.int/publications/i/belgium-health-system-summary&lt;/url&gt;&lt;/related-urls&gt;&lt;/urls&gt;&lt;/record&gt;&lt;/Cite&gt;&lt;/EndNote&gt;</w:instrText>
            </w:r>
            <w:r>
              <w:rPr>
                <w:sz w:val="20"/>
                <w:szCs w:val="18"/>
              </w:rPr>
              <w:fldChar w:fldCharType="separate"/>
            </w:r>
            <w:r w:rsidR="00F10FFB">
              <w:rPr>
                <w:noProof/>
                <w:sz w:val="20"/>
                <w:szCs w:val="18"/>
              </w:rPr>
              <w:t>[</w:t>
            </w:r>
            <w:hyperlink w:anchor="_ENREF_2" w:tooltip="European Observatory on Health Systems and Policies, 2021 #56" w:history="1">
              <w:r w:rsidR="00621D9C">
                <w:rPr>
                  <w:noProof/>
                  <w:sz w:val="20"/>
                  <w:szCs w:val="18"/>
                </w:rPr>
                <w:t>2</w:t>
              </w:r>
            </w:hyperlink>
            <w:r w:rsidR="00F10FFB">
              <w:rPr>
                <w:noProof/>
                <w:sz w:val="20"/>
                <w:szCs w:val="18"/>
              </w:rPr>
              <w:t>]</w:t>
            </w:r>
            <w:r>
              <w:rPr>
                <w:sz w:val="20"/>
                <w:szCs w:val="18"/>
              </w:rPr>
              <w:fldChar w:fldCharType="end"/>
            </w:r>
            <w:r w:rsidRPr="003C6CE9">
              <w:rPr>
                <w:sz w:val="20"/>
                <w:szCs w:val="18"/>
              </w:rPr>
              <w:t>,</w:t>
            </w:r>
            <w:r>
              <w:rPr>
                <w:sz w:val="20"/>
                <w:szCs w:val="18"/>
              </w:rPr>
              <w:t xml:space="preserve"> </w:t>
            </w:r>
            <w:r w:rsidRPr="003C6CE9">
              <w:rPr>
                <w:sz w:val="20"/>
                <w:szCs w:val="18"/>
              </w:rPr>
              <w:t xml:space="preserve">60 primary care zones in Brussels and Flanders for coordination, many solo GP practices (61% in 2018); 39% in group practices with other GPs; and 6% within capitation system </w:t>
            </w:r>
            <w:r>
              <w:rPr>
                <w:sz w:val="20"/>
                <w:szCs w:val="18"/>
              </w:rPr>
              <w:fldChar w:fldCharType="begin"/>
            </w:r>
            <w:r w:rsidR="00F10FFB">
              <w:rPr>
                <w:sz w:val="20"/>
                <w:szCs w:val="18"/>
              </w:rPr>
              <w:instrText xml:space="preserve"> ADDIN EN.CITE &lt;EndNote&gt;&lt;Cite&gt;&lt;Author&gt;Detollenaere&lt;/Author&gt;&lt;Year&gt;2020&lt;/Year&gt;&lt;RecNum&gt;63&lt;/RecNum&gt;&lt;DisplayText&gt;[11]&lt;/DisplayText&gt;&lt;record&gt;&lt;rec-number&gt;63&lt;/rec-number&gt;&lt;foreign-keys&gt;&lt;key app="EN" db-id="dtax9522bvxwaoet2d3vfdzgvs5zee0022ap"&gt;63&lt;/key&gt;&lt;/foreign-keys&gt;&lt;ref-type name="Web Page"&gt;12&lt;/ref-type&gt;&lt;contributors&gt;&lt;authors&gt;&lt;author&gt;Detollenaere, Jens&lt;/author&gt;&lt;author&gt;Christiaens, Wendy&lt;/author&gt;&lt;author&gt;Dossche, Dorien&lt;/author&gt;&lt;author&gt;Camberlin, Cécile&lt;/author&gt;&lt;author&gt;Lefèvre, Mélanie&lt;/author&gt;&lt;author&gt;Devriese, Stephan&lt;/author&gt;&lt;/authors&gt;&lt;/contributors&gt;&lt;titles&gt;&lt;title&gt;Barriers and facilitators for eHealth adoption by general practitioners in Belgium. Health Services Research (HSR) - KCE Reports 337&lt;/title&gt;&lt;/titles&gt;&lt;number&gt;1 April 2023&lt;/number&gt;&lt;dates&gt;&lt;year&gt;2020&lt;/year&gt;&lt;/dates&gt;&lt;pub-location&gt; Brussels. &lt;/pub-location&gt;&lt;publisher&gt;Belgian Health Care Knowledge Centre (KCE)&lt;/publisher&gt;&lt;urls&gt;&lt;related-urls&gt;&lt;url&gt;https://kce.fgov.be/en/publications/an-eq-5d-5l-value-set-for-belgium-how-to-value-health-related-quality-of-life/barriers-and-facilitators-for-ehealth-adoption-by-general-practitioners-in-belgium&lt;/url&gt;&lt;/related-urls&gt;&lt;/urls&gt;&lt;/record&gt;&lt;/Cite&gt;&lt;/EndNote&gt;</w:instrText>
            </w:r>
            <w:r>
              <w:rPr>
                <w:sz w:val="20"/>
                <w:szCs w:val="18"/>
              </w:rPr>
              <w:fldChar w:fldCharType="separate"/>
            </w:r>
            <w:r w:rsidR="00F10FFB">
              <w:rPr>
                <w:noProof/>
                <w:sz w:val="20"/>
                <w:szCs w:val="18"/>
              </w:rPr>
              <w:t>[</w:t>
            </w:r>
            <w:hyperlink w:anchor="_ENREF_11" w:tooltip="Detollenaere, 2020 #63" w:history="1">
              <w:r w:rsidR="00621D9C">
                <w:rPr>
                  <w:noProof/>
                  <w:sz w:val="20"/>
                  <w:szCs w:val="18"/>
                </w:rPr>
                <w:t>11</w:t>
              </w:r>
            </w:hyperlink>
            <w:r w:rsidR="00F10FFB">
              <w:rPr>
                <w:noProof/>
                <w:sz w:val="20"/>
                <w:szCs w:val="18"/>
              </w:rPr>
              <w:t>]</w:t>
            </w:r>
            <w:r>
              <w:rPr>
                <w:sz w:val="20"/>
                <w:szCs w:val="18"/>
              </w:rPr>
              <w:fldChar w:fldCharType="end"/>
            </w:r>
          </w:p>
        </w:tc>
      </w:tr>
      <w:tr w:rsidR="00584C38" w:rsidRPr="003C6CE9" w14:paraId="4F33901C" w14:textId="77777777" w:rsidTr="002D071A">
        <w:tc>
          <w:tcPr>
            <w:tcW w:w="2405" w:type="dxa"/>
          </w:tcPr>
          <w:p w14:paraId="62B71028" w14:textId="77777777" w:rsidR="00584C38" w:rsidRPr="003C6CE9" w:rsidRDefault="00584C38" w:rsidP="00584C38">
            <w:pPr>
              <w:pStyle w:val="ListParagraph"/>
              <w:numPr>
                <w:ilvl w:val="0"/>
                <w:numId w:val="1"/>
              </w:numPr>
              <w:rPr>
                <w:sz w:val="20"/>
                <w:szCs w:val="18"/>
              </w:rPr>
            </w:pPr>
            <w:r w:rsidRPr="003C6CE9">
              <w:rPr>
                <w:sz w:val="20"/>
                <w:szCs w:val="18"/>
              </w:rPr>
              <w:t>Health financing system</w:t>
            </w:r>
          </w:p>
        </w:tc>
        <w:tc>
          <w:tcPr>
            <w:tcW w:w="2268" w:type="dxa"/>
          </w:tcPr>
          <w:p w14:paraId="23F3AF44" w14:textId="77777777" w:rsidR="00584C38" w:rsidRPr="003C6CE9" w:rsidRDefault="00584C38" w:rsidP="002D071A">
            <w:pPr>
              <w:rPr>
                <w:sz w:val="20"/>
                <w:szCs w:val="18"/>
              </w:rPr>
            </w:pPr>
            <w:r w:rsidRPr="003C6CE9">
              <w:rPr>
                <w:sz w:val="20"/>
                <w:szCs w:val="18"/>
              </w:rPr>
              <w:t>State and large private system</w:t>
            </w:r>
          </w:p>
        </w:tc>
        <w:tc>
          <w:tcPr>
            <w:tcW w:w="2268" w:type="dxa"/>
          </w:tcPr>
          <w:p w14:paraId="56978A49" w14:textId="77777777" w:rsidR="00584C38" w:rsidRPr="003C6CE9" w:rsidRDefault="00584C38" w:rsidP="002D071A">
            <w:pPr>
              <w:rPr>
                <w:sz w:val="20"/>
                <w:szCs w:val="18"/>
              </w:rPr>
            </w:pPr>
            <w:r w:rsidRPr="003C6CE9">
              <w:rPr>
                <w:sz w:val="20"/>
                <w:szCs w:val="18"/>
              </w:rPr>
              <w:t>Societal (social insurance)</w:t>
            </w:r>
          </w:p>
        </w:tc>
        <w:tc>
          <w:tcPr>
            <w:tcW w:w="2217" w:type="dxa"/>
          </w:tcPr>
          <w:p w14:paraId="0EA0F068" w14:textId="7D2B952E" w:rsidR="00584C38" w:rsidRPr="003C6CE9" w:rsidRDefault="00584C38" w:rsidP="002D071A">
            <w:pPr>
              <w:rPr>
                <w:sz w:val="20"/>
                <w:szCs w:val="18"/>
              </w:rPr>
            </w:pPr>
            <w:r w:rsidRPr="003C6CE9">
              <w:rPr>
                <w:sz w:val="20"/>
                <w:szCs w:val="18"/>
              </w:rPr>
              <w:t>Societal (social insurance)</w:t>
            </w:r>
          </w:p>
        </w:tc>
      </w:tr>
      <w:tr w:rsidR="00584C38" w:rsidRPr="003C6CE9" w14:paraId="4992046C" w14:textId="77777777" w:rsidTr="002D071A">
        <w:tc>
          <w:tcPr>
            <w:tcW w:w="2405" w:type="dxa"/>
          </w:tcPr>
          <w:p w14:paraId="082C6335" w14:textId="77777777" w:rsidR="00584C38" w:rsidRPr="003C6CE9" w:rsidRDefault="00584C38" w:rsidP="00584C38">
            <w:pPr>
              <w:pStyle w:val="ListParagraph"/>
              <w:numPr>
                <w:ilvl w:val="0"/>
                <w:numId w:val="1"/>
              </w:numPr>
              <w:rPr>
                <w:sz w:val="20"/>
                <w:szCs w:val="18"/>
              </w:rPr>
            </w:pPr>
            <w:r w:rsidRPr="003C6CE9">
              <w:rPr>
                <w:sz w:val="20"/>
                <w:szCs w:val="18"/>
              </w:rPr>
              <w:t xml:space="preserve">Healthcare provision </w:t>
            </w:r>
          </w:p>
        </w:tc>
        <w:tc>
          <w:tcPr>
            <w:tcW w:w="2268" w:type="dxa"/>
          </w:tcPr>
          <w:p w14:paraId="29E6A459" w14:textId="77777777" w:rsidR="00584C38" w:rsidRPr="003C6CE9" w:rsidRDefault="00584C38" w:rsidP="002D071A">
            <w:pPr>
              <w:rPr>
                <w:sz w:val="20"/>
                <w:szCs w:val="18"/>
              </w:rPr>
            </w:pPr>
            <w:r w:rsidRPr="003C6CE9">
              <w:rPr>
                <w:sz w:val="20"/>
                <w:szCs w:val="18"/>
              </w:rPr>
              <w:t xml:space="preserve">Mixed provider system (large private system, with little regulation and </w:t>
            </w:r>
            <w:r w:rsidRPr="003C6CE9">
              <w:rPr>
                <w:sz w:val="20"/>
                <w:szCs w:val="18"/>
              </w:rPr>
              <w:lastRenderedPageBreak/>
              <w:t>enforcement especially at primary care level)</w:t>
            </w:r>
          </w:p>
        </w:tc>
        <w:tc>
          <w:tcPr>
            <w:tcW w:w="2268" w:type="dxa"/>
          </w:tcPr>
          <w:p w14:paraId="103BB7BC" w14:textId="4E9D6D0A" w:rsidR="00584C38" w:rsidRDefault="00584C38" w:rsidP="002D071A">
            <w:pPr>
              <w:rPr>
                <w:sz w:val="20"/>
                <w:szCs w:val="18"/>
              </w:rPr>
            </w:pPr>
            <w:r w:rsidRPr="003C6CE9">
              <w:rPr>
                <w:sz w:val="20"/>
                <w:szCs w:val="18"/>
              </w:rPr>
              <w:lastRenderedPageBreak/>
              <w:t>Mixed system of public-private providers, regulation of package and tariffs</w:t>
            </w:r>
          </w:p>
          <w:p w14:paraId="5E04731F" w14:textId="77777777" w:rsidR="00584C38" w:rsidRPr="003C6CE9" w:rsidRDefault="00584C38" w:rsidP="002D071A">
            <w:pPr>
              <w:rPr>
                <w:sz w:val="20"/>
                <w:szCs w:val="18"/>
              </w:rPr>
            </w:pPr>
          </w:p>
          <w:p w14:paraId="6BC16591" w14:textId="77777777" w:rsidR="00584C38" w:rsidRPr="003C6CE9" w:rsidRDefault="00584C38" w:rsidP="002D071A">
            <w:pPr>
              <w:rPr>
                <w:sz w:val="20"/>
                <w:szCs w:val="18"/>
              </w:rPr>
            </w:pPr>
            <w:r w:rsidRPr="003C6CE9">
              <w:rPr>
                <w:sz w:val="20"/>
                <w:szCs w:val="18"/>
              </w:rPr>
              <w:t>Strong public primary care system</w:t>
            </w:r>
          </w:p>
          <w:p w14:paraId="75626ECC" w14:textId="77777777" w:rsidR="00584C38" w:rsidRPr="003C6CE9" w:rsidRDefault="00584C38" w:rsidP="002D071A">
            <w:pPr>
              <w:rPr>
                <w:sz w:val="20"/>
                <w:szCs w:val="18"/>
              </w:rPr>
            </w:pPr>
          </w:p>
        </w:tc>
        <w:tc>
          <w:tcPr>
            <w:tcW w:w="2217" w:type="dxa"/>
          </w:tcPr>
          <w:p w14:paraId="5C418384" w14:textId="77777777" w:rsidR="00584C38" w:rsidRDefault="00584C38" w:rsidP="002D071A">
            <w:pPr>
              <w:rPr>
                <w:sz w:val="20"/>
                <w:szCs w:val="18"/>
              </w:rPr>
            </w:pPr>
            <w:r w:rsidRPr="003C6CE9">
              <w:rPr>
                <w:sz w:val="20"/>
                <w:szCs w:val="18"/>
              </w:rPr>
              <w:lastRenderedPageBreak/>
              <w:t xml:space="preserve">Mixed system of public and private providers (mainly private providers, regulation of </w:t>
            </w:r>
            <w:r w:rsidRPr="003C6CE9">
              <w:rPr>
                <w:sz w:val="20"/>
                <w:szCs w:val="18"/>
              </w:rPr>
              <w:lastRenderedPageBreak/>
              <w:t>package and tariffs with some degree of freedom)</w:t>
            </w:r>
          </w:p>
          <w:p w14:paraId="585F3F16" w14:textId="77777777" w:rsidR="00584C38" w:rsidRPr="003C6CE9" w:rsidRDefault="00584C38" w:rsidP="002D071A">
            <w:pPr>
              <w:rPr>
                <w:sz w:val="20"/>
                <w:szCs w:val="18"/>
              </w:rPr>
            </w:pPr>
          </w:p>
          <w:p w14:paraId="59040A8E" w14:textId="77777777" w:rsidR="00584C38" w:rsidRDefault="00584C38" w:rsidP="002D071A">
            <w:pPr>
              <w:rPr>
                <w:sz w:val="20"/>
                <w:szCs w:val="18"/>
              </w:rPr>
            </w:pPr>
            <w:r w:rsidRPr="003C6CE9">
              <w:rPr>
                <w:sz w:val="20"/>
                <w:szCs w:val="18"/>
              </w:rPr>
              <w:t>Hospital-oriented</w:t>
            </w:r>
          </w:p>
          <w:p w14:paraId="0B15C214" w14:textId="77777777" w:rsidR="00584C38" w:rsidRPr="003C6CE9" w:rsidRDefault="00584C38" w:rsidP="002D071A">
            <w:pPr>
              <w:rPr>
                <w:sz w:val="20"/>
                <w:szCs w:val="18"/>
              </w:rPr>
            </w:pPr>
          </w:p>
          <w:p w14:paraId="5CC34099" w14:textId="77777777" w:rsidR="00584C38" w:rsidRPr="003C6CE9" w:rsidRDefault="00584C38" w:rsidP="002D071A">
            <w:pPr>
              <w:rPr>
                <w:sz w:val="20"/>
                <w:szCs w:val="18"/>
              </w:rPr>
            </w:pPr>
            <w:r w:rsidRPr="003C6CE9">
              <w:rPr>
                <w:sz w:val="20"/>
                <w:szCs w:val="18"/>
              </w:rPr>
              <w:t>High supply &amp; choice-oriented public system</w:t>
            </w:r>
            <w:r w:rsidRPr="003C6CE9">
              <w:rPr>
                <w:rFonts w:ascii="Calibri" w:eastAsia="Times New Roman" w:hAnsi="Calibri" w:cs="Calibri"/>
                <w:color w:val="0F2481"/>
                <w:sz w:val="16"/>
                <w:szCs w:val="16"/>
                <w:vertAlign w:val="superscript"/>
                <w:lang w:eastAsia="nl-BE"/>
              </w:rPr>
              <w:t> </w:t>
            </w:r>
          </w:p>
        </w:tc>
      </w:tr>
      <w:tr w:rsidR="00584C38" w:rsidRPr="003C6CE9" w14:paraId="61E02807" w14:textId="77777777" w:rsidTr="002D071A">
        <w:tc>
          <w:tcPr>
            <w:tcW w:w="2405" w:type="dxa"/>
          </w:tcPr>
          <w:p w14:paraId="01C09115" w14:textId="77777777" w:rsidR="00584C38" w:rsidRPr="003C6CE9" w:rsidRDefault="00584C38" w:rsidP="00584C38">
            <w:pPr>
              <w:pStyle w:val="ListParagraph"/>
              <w:numPr>
                <w:ilvl w:val="0"/>
                <w:numId w:val="1"/>
              </w:numPr>
              <w:rPr>
                <w:sz w:val="20"/>
                <w:szCs w:val="18"/>
              </w:rPr>
            </w:pPr>
            <w:r w:rsidRPr="003C6CE9">
              <w:rPr>
                <w:sz w:val="20"/>
                <w:szCs w:val="18"/>
              </w:rPr>
              <w:lastRenderedPageBreak/>
              <w:t>Primary care purchasing and payment</w:t>
            </w:r>
          </w:p>
        </w:tc>
        <w:tc>
          <w:tcPr>
            <w:tcW w:w="2268" w:type="dxa"/>
          </w:tcPr>
          <w:p w14:paraId="538A910B" w14:textId="729B9DA7" w:rsidR="00584C38" w:rsidRPr="003C6CE9" w:rsidRDefault="00584C38" w:rsidP="002D071A">
            <w:pPr>
              <w:rPr>
                <w:sz w:val="20"/>
                <w:szCs w:val="18"/>
              </w:rPr>
            </w:pPr>
            <w:r w:rsidRPr="003C6CE9">
              <w:rPr>
                <w:sz w:val="20"/>
                <w:szCs w:val="18"/>
              </w:rPr>
              <w:t>Public providers paid fixed salary, private providers</w:t>
            </w:r>
            <w:r>
              <w:rPr>
                <w:sz w:val="20"/>
                <w:szCs w:val="18"/>
              </w:rPr>
              <w:t xml:space="preserve"> FFS</w:t>
            </w:r>
          </w:p>
        </w:tc>
        <w:tc>
          <w:tcPr>
            <w:tcW w:w="2268" w:type="dxa"/>
          </w:tcPr>
          <w:p w14:paraId="05EB389B" w14:textId="2AC8D691" w:rsidR="00584C38" w:rsidRPr="003C6CE9" w:rsidRDefault="00584C38" w:rsidP="002D071A">
            <w:pPr>
              <w:rPr>
                <w:sz w:val="20"/>
                <w:szCs w:val="18"/>
              </w:rPr>
            </w:pPr>
            <w:r w:rsidRPr="003C6CE9">
              <w:rPr>
                <w:sz w:val="20"/>
                <w:szCs w:val="18"/>
              </w:rPr>
              <w:t>Mixed payment of capitation/</w:t>
            </w:r>
            <w:r>
              <w:rPr>
                <w:sz w:val="20"/>
                <w:szCs w:val="18"/>
              </w:rPr>
              <w:t>FFS</w:t>
            </w:r>
            <w:r w:rsidRPr="003C6CE9">
              <w:rPr>
                <w:sz w:val="20"/>
                <w:szCs w:val="18"/>
              </w:rPr>
              <w:t xml:space="preserve"> for all</w:t>
            </w:r>
          </w:p>
        </w:tc>
        <w:tc>
          <w:tcPr>
            <w:tcW w:w="2217" w:type="dxa"/>
          </w:tcPr>
          <w:p w14:paraId="2BE7421D" w14:textId="40F861CB" w:rsidR="00584C38" w:rsidRPr="003C6CE9" w:rsidRDefault="00584C38" w:rsidP="002D071A">
            <w:pPr>
              <w:rPr>
                <w:sz w:val="20"/>
                <w:szCs w:val="18"/>
              </w:rPr>
            </w:pPr>
            <w:r w:rsidRPr="003C6CE9">
              <w:rPr>
                <w:sz w:val="20"/>
                <w:szCs w:val="18"/>
              </w:rPr>
              <w:t xml:space="preserve">Providers mainly opt for </w:t>
            </w:r>
            <w:r>
              <w:rPr>
                <w:sz w:val="20"/>
                <w:szCs w:val="18"/>
              </w:rPr>
              <w:t>FFS</w:t>
            </w:r>
            <w:r w:rsidRPr="003C6CE9">
              <w:rPr>
                <w:sz w:val="20"/>
                <w:szCs w:val="18"/>
              </w:rPr>
              <w:t>, but there is also a capitation-based remuneration system</w:t>
            </w:r>
          </w:p>
        </w:tc>
      </w:tr>
      <w:tr w:rsidR="00584C38" w:rsidRPr="003C6CE9" w14:paraId="0D3E24F1" w14:textId="77777777" w:rsidTr="002D071A">
        <w:tc>
          <w:tcPr>
            <w:tcW w:w="2405" w:type="dxa"/>
          </w:tcPr>
          <w:p w14:paraId="6F6C780C" w14:textId="77777777" w:rsidR="00584C38" w:rsidRPr="003C6CE9" w:rsidRDefault="00584C38" w:rsidP="00584C38">
            <w:pPr>
              <w:pStyle w:val="ListParagraph"/>
              <w:numPr>
                <w:ilvl w:val="0"/>
                <w:numId w:val="1"/>
              </w:numPr>
              <w:rPr>
                <w:sz w:val="20"/>
                <w:szCs w:val="18"/>
              </w:rPr>
            </w:pPr>
            <w:r w:rsidRPr="003C6CE9">
              <w:rPr>
                <w:sz w:val="20"/>
                <w:szCs w:val="18"/>
              </w:rPr>
              <w:t>Embedding of primary care in community network</w:t>
            </w:r>
          </w:p>
          <w:p w14:paraId="2F464697" w14:textId="77777777" w:rsidR="00584C38" w:rsidRPr="003C6CE9" w:rsidRDefault="00584C38" w:rsidP="002D071A">
            <w:pPr>
              <w:pStyle w:val="ListParagraph"/>
              <w:ind w:left="360"/>
              <w:rPr>
                <w:sz w:val="20"/>
                <w:szCs w:val="18"/>
              </w:rPr>
            </w:pPr>
          </w:p>
        </w:tc>
        <w:tc>
          <w:tcPr>
            <w:tcW w:w="2268" w:type="dxa"/>
          </w:tcPr>
          <w:p w14:paraId="360EEDCA" w14:textId="77777777" w:rsidR="00584C38" w:rsidRPr="003C6CE9" w:rsidRDefault="00584C38" w:rsidP="002D071A">
            <w:pPr>
              <w:rPr>
                <w:sz w:val="20"/>
                <w:szCs w:val="18"/>
              </w:rPr>
            </w:pPr>
            <w:r w:rsidRPr="003C6CE9">
              <w:rPr>
                <w:sz w:val="20"/>
                <w:szCs w:val="18"/>
              </w:rPr>
              <w:t>Variable: community-based workers throughout the country but links with primary care variable</w:t>
            </w:r>
          </w:p>
        </w:tc>
        <w:tc>
          <w:tcPr>
            <w:tcW w:w="2268" w:type="dxa"/>
          </w:tcPr>
          <w:p w14:paraId="75C53D8A" w14:textId="77777777" w:rsidR="00584C38" w:rsidRPr="003C6CE9" w:rsidRDefault="00584C38" w:rsidP="002D071A">
            <w:pPr>
              <w:rPr>
                <w:sz w:val="20"/>
                <w:szCs w:val="18"/>
              </w:rPr>
            </w:pPr>
            <w:r w:rsidRPr="003C6CE9">
              <w:rPr>
                <w:sz w:val="20"/>
                <w:szCs w:val="18"/>
              </w:rPr>
              <w:t xml:space="preserve">Strong with a </w:t>
            </w:r>
            <w:proofErr w:type="gramStart"/>
            <w:r w:rsidRPr="003C6CE9">
              <w:rPr>
                <w:sz w:val="20"/>
                <w:szCs w:val="18"/>
              </w:rPr>
              <w:t>community based</w:t>
            </w:r>
            <w:proofErr w:type="gramEnd"/>
            <w:r w:rsidRPr="003C6CE9">
              <w:rPr>
                <w:sz w:val="20"/>
                <w:szCs w:val="18"/>
              </w:rPr>
              <w:t xml:space="preserve"> nurse in primary care practice</w:t>
            </w:r>
          </w:p>
        </w:tc>
        <w:tc>
          <w:tcPr>
            <w:tcW w:w="2217" w:type="dxa"/>
          </w:tcPr>
          <w:p w14:paraId="2AD6CB33" w14:textId="77777777" w:rsidR="00584C38" w:rsidRPr="003C6CE9" w:rsidRDefault="00584C38" w:rsidP="002D071A">
            <w:pPr>
              <w:rPr>
                <w:sz w:val="20"/>
                <w:szCs w:val="18"/>
              </w:rPr>
            </w:pPr>
            <w:r w:rsidRPr="003C6CE9">
              <w:rPr>
                <w:sz w:val="20"/>
                <w:szCs w:val="18"/>
              </w:rPr>
              <w:t xml:space="preserve">Medium, recent reforms aim for </w:t>
            </w:r>
            <w:proofErr w:type="gramStart"/>
            <w:r w:rsidRPr="003C6CE9">
              <w:rPr>
                <w:sz w:val="20"/>
                <w:szCs w:val="18"/>
              </w:rPr>
              <w:t>population based</w:t>
            </w:r>
            <w:proofErr w:type="gramEnd"/>
            <w:r w:rsidRPr="003C6CE9">
              <w:rPr>
                <w:sz w:val="20"/>
                <w:szCs w:val="18"/>
              </w:rPr>
              <w:t xml:space="preserve"> </w:t>
            </w:r>
            <w:r>
              <w:rPr>
                <w:sz w:val="20"/>
                <w:szCs w:val="18"/>
              </w:rPr>
              <w:t>IC</w:t>
            </w:r>
          </w:p>
        </w:tc>
      </w:tr>
      <w:tr w:rsidR="00584C38" w:rsidRPr="003C6CE9" w14:paraId="162CBF94" w14:textId="77777777" w:rsidTr="002D071A">
        <w:tc>
          <w:tcPr>
            <w:tcW w:w="2405" w:type="dxa"/>
          </w:tcPr>
          <w:p w14:paraId="241BFAFC" w14:textId="77777777" w:rsidR="00584C38" w:rsidRPr="003C6CE9" w:rsidRDefault="00584C38" w:rsidP="00584C38">
            <w:pPr>
              <w:pStyle w:val="ListParagraph"/>
              <w:numPr>
                <w:ilvl w:val="0"/>
                <w:numId w:val="1"/>
              </w:numPr>
              <w:rPr>
                <w:sz w:val="20"/>
                <w:szCs w:val="18"/>
              </w:rPr>
            </w:pPr>
            <w:r w:rsidRPr="003C6CE9">
              <w:rPr>
                <w:sz w:val="20"/>
                <w:szCs w:val="18"/>
              </w:rPr>
              <w:t xml:space="preserve">Health expenditure </w:t>
            </w:r>
          </w:p>
          <w:p w14:paraId="60784952" w14:textId="556481E5" w:rsidR="00584C38" w:rsidRPr="003C6CE9" w:rsidRDefault="00584C38" w:rsidP="00621D9C">
            <w:pPr>
              <w:pStyle w:val="ListParagraph"/>
              <w:ind w:left="360"/>
              <w:rPr>
                <w:sz w:val="20"/>
                <w:szCs w:val="18"/>
              </w:rPr>
            </w:pPr>
            <w:r w:rsidRPr="003C6CE9">
              <w:rPr>
                <w:sz w:val="20"/>
                <w:szCs w:val="18"/>
              </w:rPr>
              <w:t xml:space="preserve">(USD/capita) in 2019 </w:t>
            </w:r>
            <w:r w:rsidRPr="003C6CE9">
              <w:rPr>
                <w:sz w:val="20"/>
                <w:szCs w:val="18"/>
              </w:rPr>
              <w:fldChar w:fldCharType="begin" w:fldLock="1"/>
            </w:r>
            <w:r w:rsidRPr="003C6CE9">
              <w:rPr>
                <w:sz w:val="20"/>
                <w:szCs w:val="18"/>
              </w:rPr>
              <w:instrText>ADDIN CSL_CITATION {"citationItems":[{"id":"ITEM-1","itemData":{"URL":"https://data.worldbank.org/indicator/SH.XPD.CHEX.PP.CD","accessed":{"date-parts":[["2022","8","4"]]},"author":[{"dropping-particle":"","family":"World Bank","given":"","non-dropping-particle":"","parse-names":false,"suffix":""}],"container-title":"World Bank Open Data","id":"ITEM-1","issued":{"date-parts":[["2022"]]},"title":"Current health expenditure per capita, PPP (current international $) | Data","type":"webpage"},"uris":["http://www.mendeley.com/documents/?uuid=61399ba7-626b-3740-abcc-b2aa5effdc1e"]}],"mendeley":{"formattedCitation":"[43]","plainTextFormattedCitation":"[43]","previouslyFormattedCitation":"[43]"},"properties":{"noteIndex":0},"schema":"https://github.com/citation-style-language/schema/raw/master/csl-citation.json"}</w:instrText>
            </w:r>
            <w:r w:rsidRPr="003C6CE9">
              <w:rPr>
                <w:sz w:val="20"/>
                <w:szCs w:val="18"/>
              </w:rPr>
              <w:fldChar w:fldCharType="separate"/>
            </w:r>
            <w:r>
              <w:rPr>
                <w:sz w:val="20"/>
                <w:szCs w:val="18"/>
              </w:rPr>
              <w:fldChar w:fldCharType="begin"/>
            </w:r>
            <w:r w:rsidR="00F10FFB">
              <w:rPr>
                <w:sz w:val="20"/>
                <w:szCs w:val="18"/>
              </w:rPr>
              <w:instrText xml:space="preserve"> ADDIN EN.CITE &lt;EndNote&gt;&lt;Cite&gt;&lt;Author&gt;World Bank&lt;/Author&gt;&lt;Year&gt;2022&lt;/Year&gt;&lt;RecNum&gt;64&lt;/RecNum&gt;&lt;DisplayText&gt;[12]&lt;/DisplayText&gt;&lt;record&gt;&lt;rec-number&gt;64&lt;/rec-number&gt;&lt;foreign-keys&gt;&lt;key app="EN" db-id="dtax9522bvxwaoet2d3vfdzgvs5zee0022ap"&gt;64&lt;/key&gt;&lt;/foreign-keys&gt;&lt;ref-type name="Web Page"&gt;12&lt;/ref-type&gt;&lt;contributors&gt;&lt;authors&gt;&lt;author&gt;World Bank,&lt;/author&gt;&lt;/authors&gt;&lt;/contributors&gt;&lt;titles&gt;&lt;title&gt;Current health expenditure per capita, PPP (current international $) | Data&lt;/title&gt;&lt;/titles&gt;&lt;number&gt;1 April 2023&lt;/number&gt;&lt;dates&gt;&lt;year&gt;2022&lt;/year&gt;&lt;/dates&gt;&lt;publisher&gt;World Bank Open Data&lt;/publisher&gt;&lt;urls&gt;&lt;related-urls&gt;&lt;url&gt;https://data.worldbank.org/indicator/SH.XPD.CHEX.PP.CD&lt;/url&gt;&lt;/related-urls&gt;&lt;/urls&gt;&lt;/record&gt;&lt;/Cite&gt;&lt;/EndNote&gt;</w:instrText>
            </w:r>
            <w:r>
              <w:rPr>
                <w:sz w:val="20"/>
                <w:szCs w:val="18"/>
              </w:rPr>
              <w:fldChar w:fldCharType="separate"/>
            </w:r>
            <w:r w:rsidR="00F10FFB">
              <w:rPr>
                <w:noProof/>
                <w:sz w:val="20"/>
                <w:szCs w:val="18"/>
              </w:rPr>
              <w:t>[</w:t>
            </w:r>
            <w:hyperlink w:anchor="_ENREF_12" w:tooltip="World Bank, 2022 #64" w:history="1">
              <w:r w:rsidR="00621D9C">
                <w:rPr>
                  <w:noProof/>
                  <w:sz w:val="20"/>
                  <w:szCs w:val="18"/>
                </w:rPr>
                <w:t>12</w:t>
              </w:r>
            </w:hyperlink>
            <w:r w:rsidR="00F10FFB">
              <w:rPr>
                <w:noProof/>
                <w:sz w:val="20"/>
                <w:szCs w:val="18"/>
              </w:rPr>
              <w:t>]</w:t>
            </w:r>
            <w:r>
              <w:rPr>
                <w:sz w:val="20"/>
                <w:szCs w:val="18"/>
              </w:rPr>
              <w:fldChar w:fldCharType="end"/>
            </w:r>
            <w:r w:rsidRPr="003C6CE9">
              <w:rPr>
                <w:sz w:val="20"/>
                <w:szCs w:val="18"/>
              </w:rPr>
              <w:fldChar w:fldCharType="end"/>
            </w:r>
          </w:p>
        </w:tc>
        <w:tc>
          <w:tcPr>
            <w:tcW w:w="2268" w:type="dxa"/>
          </w:tcPr>
          <w:p w14:paraId="01A1BC57" w14:textId="77777777" w:rsidR="00584C38" w:rsidRPr="003C6CE9" w:rsidRDefault="00584C38" w:rsidP="002D071A">
            <w:pPr>
              <w:rPr>
                <w:sz w:val="20"/>
                <w:szCs w:val="18"/>
              </w:rPr>
            </w:pPr>
            <w:r w:rsidRPr="003C6CE9">
              <w:rPr>
                <w:sz w:val="20"/>
                <w:szCs w:val="18"/>
              </w:rPr>
              <w:t>316.05 USD</w:t>
            </w:r>
          </w:p>
        </w:tc>
        <w:tc>
          <w:tcPr>
            <w:tcW w:w="2268" w:type="dxa"/>
          </w:tcPr>
          <w:p w14:paraId="34C2F826" w14:textId="77777777" w:rsidR="00584C38" w:rsidRPr="003C6CE9" w:rsidRDefault="00584C38" w:rsidP="002D071A">
            <w:pPr>
              <w:rPr>
                <w:sz w:val="20"/>
                <w:szCs w:val="18"/>
              </w:rPr>
            </w:pPr>
            <w:r w:rsidRPr="003C6CE9">
              <w:rPr>
                <w:sz w:val="20"/>
                <w:szCs w:val="18"/>
              </w:rPr>
              <w:t>3,629.01 USD</w:t>
            </w:r>
          </w:p>
        </w:tc>
        <w:tc>
          <w:tcPr>
            <w:tcW w:w="2217" w:type="dxa"/>
          </w:tcPr>
          <w:p w14:paraId="36B69988" w14:textId="77777777" w:rsidR="00584C38" w:rsidRPr="003C6CE9" w:rsidRDefault="00584C38" w:rsidP="002D071A">
            <w:pPr>
              <w:rPr>
                <w:sz w:val="20"/>
                <w:szCs w:val="18"/>
              </w:rPr>
            </w:pPr>
            <w:r w:rsidRPr="003C6CE9">
              <w:rPr>
                <w:sz w:val="20"/>
                <w:szCs w:val="18"/>
              </w:rPr>
              <w:t>5,846.90 USD</w:t>
            </w:r>
          </w:p>
        </w:tc>
      </w:tr>
      <w:tr w:rsidR="00584C38" w:rsidRPr="003C6CE9" w14:paraId="4ECE8D5B" w14:textId="77777777" w:rsidTr="002D071A">
        <w:tc>
          <w:tcPr>
            <w:tcW w:w="2405" w:type="dxa"/>
          </w:tcPr>
          <w:p w14:paraId="4DBE3F5F" w14:textId="77777777" w:rsidR="00584C38" w:rsidRPr="003C6CE9" w:rsidRDefault="00584C38" w:rsidP="00584C38">
            <w:pPr>
              <w:pStyle w:val="ListParagraph"/>
              <w:numPr>
                <w:ilvl w:val="0"/>
                <w:numId w:val="1"/>
              </w:numPr>
              <w:rPr>
                <w:sz w:val="20"/>
                <w:szCs w:val="18"/>
              </w:rPr>
            </w:pPr>
            <w:r w:rsidRPr="003C6CE9">
              <w:rPr>
                <w:sz w:val="20"/>
                <w:szCs w:val="18"/>
              </w:rPr>
              <w:t xml:space="preserve">Health expenditure </w:t>
            </w:r>
          </w:p>
          <w:p w14:paraId="1691F89B" w14:textId="08C81F06" w:rsidR="00584C38" w:rsidRPr="003C6CE9" w:rsidRDefault="00584C38" w:rsidP="00621D9C">
            <w:pPr>
              <w:pStyle w:val="ListParagraph"/>
              <w:ind w:left="360"/>
              <w:rPr>
                <w:sz w:val="20"/>
                <w:szCs w:val="18"/>
              </w:rPr>
            </w:pPr>
            <w:r w:rsidRPr="003C6CE9">
              <w:rPr>
                <w:sz w:val="20"/>
                <w:szCs w:val="18"/>
              </w:rPr>
              <w:t xml:space="preserve">(% of GDP) in 2019 </w:t>
            </w:r>
            <w:r>
              <w:rPr>
                <w:sz w:val="20"/>
                <w:szCs w:val="18"/>
              </w:rPr>
              <w:fldChar w:fldCharType="begin"/>
            </w:r>
            <w:r w:rsidR="00F10FFB">
              <w:rPr>
                <w:sz w:val="20"/>
                <w:szCs w:val="18"/>
              </w:rPr>
              <w:instrText xml:space="preserve"> ADDIN EN.CITE &lt;EndNote&gt;&lt;Cite&gt;&lt;Author&gt;World Bank&lt;/Author&gt;&lt;Year&gt;2022&lt;/Year&gt;&lt;RecNum&gt;65&lt;/RecNum&gt;&lt;DisplayText&gt;[13]&lt;/DisplayText&gt;&lt;record&gt;&lt;rec-number&gt;65&lt;/rec-number&gt;&lt;foreign-keys&gt;&lt;key app="EN" db-id="dtax9522bvxwaoet2d3vfdzgvs5zee0022ap"&gt;65&lt;/key&gt;&lt;/foreign-keys&gt;&lt;ref-type name="Web Page"&gt;12&lt;/ref-type&gt;&lt;contributors&gt;&lt;authors&gt;&lt;author&gt;World Bank,&lt;/author&gt;&lt;/authors&gt;&lt;/contributors&gt;&lt;titles&gt;&lt;title&gt;Current health expenditure (% of GDP) | Data&lt;/title&gt;&lt;/titles&gt;&lt;volume&gt;1 April 2023&lt;/volume&gt;&lt;dates&gt;&lt;year&gt;2022&lt;/year&gt;&lt;/dates&gt;&lt;publisher&gt;World Bank Open Data&lt;/publisher&gt;&lt;urls&gt;&lt;related-urls&gt;&lt;url&gt;https://data.worldbank.org/indicator/SH.XPD.CHEX.GD.ZS&lt;/url&gt;&lt;/related-urls&gt;&lt;/urls&gt;&lt;/record&gt;&lt;/Cite&gt;&lt;/EndNote&gt;</w:instrText>
            </w:r>
            <w:r>
              <w:rPr>
                <w:sz w:val="20"/>
                <w:szCs w:val="18"/>
              </w:rPr>
              <w:fldChar w:fldCharType="separate"/>
            </w:r>
            <w:r w:rsidR="00F10FFB">
              <w:rPr>
                <w:noProof/>
                <w:sz w:val="20"/>
                <w:szCs w:val="18"/>
              </w:rPr>
              <w:t>[</w:t>
            </w:r>
            <w:hyperlink w:anchor="_ENREF_13" w:tooltip="World Bank, 2022 #65" w:history="1">
              <w:r w:rsidR="00621D9C">
                <w:rPr>
                  <w:noProof/>
                  <w:sz w:val="20"/>
                  <w:szCs w:val="18"/>
                </w:rPr>
                <w:t>13</w:t>
              </w:r>
            </w:hyperlink>
            <w:r w:rsidR="00F10FFB">
              <w:rPr>
                <w:noProof/>
                <w:sz w:val="20"/>
                <w:szCs w:val="18"/>
              </w:rPr>
              <w:t>]</w:t>
            </w:r>
            <w:r>
              <w:rPr>
                <w:sz w:val="20"/>
                <w:szCs w:val="18"/>
              </w:rPr>
              <w:fldChar w:fldCharType="end"/>
            </w:r>
            <w:r w:rsidRPr="003C6CE9">
              <w:rPr>
                <w:sz w:val="20"/>
                <w:szCs w:val="18"/>
              </w:rPr>
              <w:t xml:space="preserve"> </w:t>
            </w:r>
          </w:p>
        </w:tc>
        <w:tc>
          <w:tcPr>
            <w:tcW w:w="2268" w:type="dxa"/>
          </w:tcPr>
          <w:p w14:paraId="78FB04A8" w14:textId="77777777" w:rsidR="00584C38" w:rsidRPr="003C6CE9" w:rsidRDefault="00584C38" w:rsidP="002D071A">
            <w:pPr>
              <w:rPr>
                <w:sz w:val="20"/>
                <w:szCs w:val="18"/>
              </w:rPr>
            </w:pPr>
            <w:r w:rsidRPr="003C6CE9">
              <w:rPr>
                <w:sz w:val="20"/>
                <w:szCs w:val="18"/>
              </w:rPr>
              <w:t>6.99%</w:t>
            </w:r>
          </w:p>
        </w:tc>
        <w:tc>
          <w:tcPr>
            <w:tcW w:w="2268" w:type="dxa"/>
          </w:tcPr>
          <w:p w14:paraId="50EEA3A1" w14:textId="77777777" w:rsidR="00584C38" w:rsidRPr="003C6CE9" w:rsidRDefault="00584C38" w:rsidP="002D071A">
            <w:pPr>
              <w:rPr>
                <w:sz w:val="20"/>
                <w:szCs w:val="18"/>
              </w:rPr>
            </w:pPr>
            <w:r w:rsidRPr="003C6CE9">
              <w:rPr>
                <w:sz w:val="20"/>
                <w:szCs w:val="18"/>
              </w:rPr>
              <w:t xml:space="preserve">8.52% </w:t>
            </w:r>
          </w:p>
        </w:tc>
        <w:tc>
          <w:tcPr>
            <w:tcW w:w="2217" w:type="dxa"/>
          </w:tcPr>
          <w:p w14:paraId="6E084867" w14:textId="77777777" w:rsidR="00584C38" w:rsidRPr="003C6CE9" w:rsidRDefault="00584C38" w:rsidP="002D071A">
            <w:pPr>
              <w:rPr>
                <w:sz w:val="20"/>
                <w:szCs w:val="18"/>
              </w:rPr>
            </w:pPr>
            <w:r w:rsidRPr="003C6CE9">
              <w:rPr>
                <w:sz w:val="20"/>
                <w:szCs w:val="18"/>
              </w:rPr>
              <w:t xml:space="preserve">10.66% </w:t>
            </w:r>
          </w:p>
        </w:tc>
      </w:tr>
      <w:tr w:rsidR="00584C38" w:rsidRPr="003C6CE9" w14:paraId="4593D7A1" w14:textId="77777777" w:rsidTr="002D071A">
        <w:tc>
          <w:tcPr>
            <w:tcW w:w="2405" w:type="dxa"/>
          </w:tcPr>
          <w:p w14:paraId="6511B24D" w14:textId="7E44E30B" w:rsidR="00584C38" w:rsidRPr="003C6CE9" w:rsidRDefault="00584C38" w:rsidP="00621D9C">
            <w:pPr>
              <w:pStyle w:val="ListParagraph"/>
              <w:numPr>
                <w:ilvl w:val="0"/>
                <w:numId w:val="1"/>
              </w:numPr>
              <w:rPr>
                <w:sz w:val="20"/>
                <w:szCs w:val="18"/>
              </w:rPr>
            </w:pPr>
            <w:r w:rsidRPr="003C6CE9">
              <w:rPr>
                <w:sz w:val="20"/>
                <w:szCs w:val="18"/>
              </w:rPr>
              <w:t>Number of physicians per 1</w:t>
            </w:r>
            <w:r w:rsidR="00064C56">
              <w:rPr>
                <w:sz w:val="20"/>
                <w:szCs w:val="18"/>
              </w:rPr>
              <w:t>,</w:t>
            </w:r>
            <w:r w:rsidRPr="003C6CE9">
              <w:rPr>
                <w:sz w:val="20"/>
                <w:szCs w:val="18"/>
              </w:rPr>
              <w:t xml:space="preserve">000 inhabitants </w:t>
            </w:r>
            <w:r>
              <w:rPr>
                <w:sz w:val="20"/>
                <w:szCs w:val="18"/>
              </w:rPr>
              <w:fldChar w:fldCharType="begin"/>
            </w:r>
            <w:r w:rsidR="00F10FFB">
              <w:rPr>
                <w:sz w:val="20"/>
                <w:szCs w:val="18"/>
              </w:rPr>
              <w:instrText xml:space="preserve"> ADDIN EN.CITE &lt;EndNote&gt;&lt;Cite&gt;&lt;Author&gt;World Bank&lt;/Author&gt;&lt;Year&gt;2022&lt;/Year&gt;&lt;RecNum&gt;66&lt;/RecNum&gt;&lt;DisplayText&gt;[14]&lt;/DisplayText&gt;&lt;record&gt;&lt;rec-number&gt;66&lt;/rec-number&gt;&lt;foreign-keys&gt;&lt;key app="EN" db-id="dtax9522bvxwaoet2d3vfdzgvs5zee0022ap"&gt;66&lt;/key&gt;&lt;/foreign-keys&gt;&lt;ref-type name="Web Page"&gt;12&lt;/ref-type&gt;&lt;contributors&gt;&lt;authors&gt;&lt;author&gt;World Bank,&lt;/author&gt;&lt;/authors&gt;&lt;/contributors&gt;&lt;titles&gt;&lt;title&gt;Physicians (per 1,000 people) | Data&lt;/title&gt;&lt;/titles&gt;&lt;volume&gt;1 April 2023&lt;/volume&gt;&lt;dates&gt;&lt;year&gt;2022&lt;/year&gt;&lt;/dates&gt;&lt;publisher&gt;World Bank Open Data&lt;/publisher&gt;&lt;urls&gt;&lt;related-urls&gt;&lt;url&gt;https://data.worldbank.org/indicator/SH.MED.PHYS.ZS&lt;/url&gt;&lt;/related-urls&gt;&lt;/urls&gt;&lt;/record&gt;&lt;/Cite&gt;&lt;/EndNote&gt;</w:instrText>
            </w:r>
            <w:r>
              <w:rPr>
                <w:sz w:val="20"/>
                <w:szCs w:val="18"/>
              </w:rPr>
              <w:fldChar w:fldCharType="separate"/>
            </w:r>
            <w:r w:rsidR="00F10FFB">
              <w:rPr>
                <w:noProof/>
                <w:sz w:val="20"/>
                <w:szCs w:val="18"/>
              </w:rPr>
              <w:t>[</w:t>
            </w:r>
            <w:hyperlink w:anchor="_ENREF_14" w:tooltip="World Bank, 2022 #66" w:history="1">
              <w:r w:rsidR="00621D9C">
                <w:rPr>
                  <w:noProof/>
                  <w:sz w:val="20"/>
                  <w:szCs w:val="18"/>
                </w:rPr>
                <w:t>14</w:t>
              </w:r>
            </w:hyperlink>
            <w:r w:rsidR="00F10FFB">
              <w:rPr>
                <w:noProof/>
                <w:sz w:val="20"/>
                <w:szCs w:val="18"/>
              </w:rPr>
              <w:t>]</w:t>
            </w:r>
            <w:r>
              <w:rPr>
                <w:sz w:val="20"/>
                <w:szCs w:val="18"/>
              </w:rPr>
              <w:fldChar w:fldCharType="end"/>
            </w:r>
            <w:r w:rsidRPr="003C6CE9">
              <w:rPr>
                <w:sz w:val="20"/>
                <w:szCs w:val="18"/>
              </w:rPr>
              <w:t xml:space="preserve"> </w:t>
            </w:r>
          </w:p>
        </w:tc>
        <w:tc>
          <w:tcPr>
            <w:tcW w:w="2268" w:type="dxa"/>
          </w:tcPr>
          <w:p w14:paraId="72F2106E" w14:textId="77777777" w:rsidR="00584C38" w:rsidRPr="003C6CE9" w:rsidRDefault="00584C38" w:rsidP="002D071A">
            <w:pPr>
              <w:rPr>
                <w:sz w:val="20"/>
                <w:szCs w:val="18"/>
              </w:rPr>
            </w:pPr>
            <w:r w:rsidRPr="003C6CE9">
              <w:rPr>
                <w:sz w:val="20"/>
                <w:szCs w:val="18"/>
              </w:rPr>
              <w:t>0</w:t>
            </w:r>
            <w:r>
              <w:rPr>
                <w:sz w:val="20"/>
                <w:szCs w:val="18"/>
              </w:rPr>
              <w:t>.</w:t>
            </w:r>
            <w:r w:rsidRPr="003C6CE9">
              <w:rPr>
                <w:sz w:val="20"/>
                <w:szCs w:val="18"/>
              </w:rPr>
              <w:t>2 (2014)</w:t>
            </w:r>
          </w:p>
        </w:tc>
        <w:tc>
          <w:tcPr>
            <w:tcW w:w="2268" w:type="dxa"/>
          </w:tcPr>
          <w:p w14:paraId="4B6D51B5" w14:textId="77777777" w:rsidR="00584C38" w:rsidRPr="003C6CE9" w:rsidRDefault="00584C38" w:rsidP="002D071A">
            <w:pPr>
              <w:rPr>
                <w:sz w:val="20"/>
                <w:szCs w:val="18"/>
              </w:rPr>
            </w:pPr>
            <w:r w:rsidRPr="003C6CE9">
              <w:rPr>
                <w:sz w:val="20"/>
                <w:szCs w:val="18"/>
              </w:rPr>
              <w:t>3.2 (2018)</w:t>
            </w:r>
          </w:p>
        </w:tc>
        <w:tc>
          <w:tcPr>
            <w:tcW w:w="2217" w:type="dxa"/>
          </w:tcPr>
          <w:p w14:paraId="3BE46F6F" w14:textId="77777777" w:rsidR="00584C38" w:rsidRPr="003C6CE9" w:rsidRDefault="00584C38" w:rsidP="002D071A">
            <w:pPr>
              <w:rPr>
                <w:sz w:val="20"/>
                <w:szCs w:val="18"/>
              </w:rPr>
            </w:pPr>
            <w:r w:rsidRPr="003C6CE9">
              <w:rPr>
                <w:sz w:val="20"/>
                <w:szCs w:val="18"/>
              </w:rPr>
              <w:t>6.0 (2019)</w:t>
            </w:r>
          </w:p>
        </w:tc>
      </w:tr>
      <w:tr w:rsidR="00584C38" w:rsidRPr="003C6CE9" w14:paraId="7C8F34CC" w14:textId="77777777" w:rsidTr="002D071A">
        <w:tc>
          <w:tcPr>
            <w:tcW w:w="2405" w:type="dxa"/>
          </w:tcPr>
          <w:p w14:paraId="53C42151" w14:textId="78853F00" w:rsidR="00584C38" w:rsidRPr="003C6CE9" w:rsidRDefault="00584C38" w:rsidP="00584C38">
            <w:pPr>
              <w:pStyle w:val="ListParagraph"/>
              <w:numPr>
                <w:ilvl w:val="0"/>
                <w:numId w:val="1"/>
              </w:numPr>
              <w:rPr>
                <w:sz w:val="20"/>
                <w:szCs w:val="18"/>
              </w:rPr>
            </w:pPr>
            <w:r w:rsidRPr="003C6CE9">
              <w:rPr>
                <w:sz w:val="20"/>
                <w:szCs w:val="18"/>
              </w:rPr>
              <w:t>Number of primary care physicians per 1</w:t>
            </w:r>
            <w:r w:rsidR="00064C56">
              <w:rPr>
                <w:sz w:val="20"/>
                <w:szCs w:val="18"/>
              </w:rPr>
              <w:t>,</w:t>
            </w:r>
            <w:r w:rsidRPr="003C6CE9">
              <w:rPr>
                <w:sz w:val="20"/>
                <w:szCs w:val="18"/>
              </w:rPr>
              <w:t xml:space="preserve">000 inhabitants </w:t>
            </w:r>
            <w:r w:rsidRPr="003C6CE9">
              <w:rPr>
                <w:sz w:val="20"/>
                <w:szCs w:val="18"/>
              </w:rPr>
              <w:fldChar w:fldCharType="begin" w:fldLock="1"/>
            </w:r>
            <w:r w:rsidRPr="003C6CE9">
              <w:rPr>
                <w:sz w:val="20"/>
                <w:szCs w:val="18"/>
              </w:rPr>
              <w:instrText>ADDIN CSL_CITATION {"citationItems":[{"id":"ITEM-1","itemData":{"URL":"https://stats.oecd.org/Index.aspx?QueryId=30173","accessed":{"date-parts":[["2023","3","23"]]},"author":[{"dropping-particle":"","family":"OECD","given":"","non-dropping-particle":"","parse-names":false,"suffix":""}],"container-title":"OECD.Stat","id":"ITEM-1","issued":{"date-parts":[["2023"]]},"title":"Health Care Resources : Physicians by categories","type":"webpage"},"uris":["http://www.mendeley.com/documents/?uuid=ca4f3460-52ec-3299-96eb-71b4c1a23cc1"]}],"mendeley":{"formattedCitation":"[46]","plainTextFormattedCitation":"[46]","previouslyFormattedCitation":"[46]"},"properties":{"noteIndex":0},"schema":"https://github.com/citation-style-language/schema/raw/master/csl-citation.json"}</w:instrText>
            </w:r>
            <w:r w:rsidRPr="003C6CE9">
              <w:rPr>
                <w:sz w:val="20"/>
                <w:szCs w:val="18"/>
              </w:rPr>
              <w:fldChar w:fldCharType="separate"/>
            </w:r>
            <w:r>
              <w:rPr>
                <w:sz w:val="20"/>
                <w:szCs w:val="18"/>
              </w:rPr>
              <w:fldChar w:fldCharType="begin"/>
            </w:r>
            <w:r w:rsidR="00F10FFB">
              <w:rPr>
                <w:sz w:val="20"/>
                <w:szCs w:val="18"/>
              </w:rPr>
              <w:instrText xml:space="preserve"> ADDIN EN.CITE &lt;EndNote&gt;&lt;Cite&gt;&lt;Author&gt;OECD&lt;/Author&gt;&lt;Year&gt;2023&lt;/Year&gt;&lt;RecNum&gt;67&lt;/RecNum&gt;&lt;DisplayText&gt;[15]&lt;/DisplayText&gt;&lt;record&gt;&lt;rec-number&gt;67&lt;/rec-number&gt;&lt;foreign-keys&gt;&lt;key app="EN" db-id="dtax9522bvxwaoet2d3vfdzgvs5zee0022ap"&gt;67&lt;/key&gt;&lt;/foreign-keys&gt;&lt;ref-type name="Web Page"&gt;12&lt;/ref-type&gt;&lt;contributors&gt;&lt;authors&gt;&lt;author&gt;OECD,&lt;/author&gt;&lt;/authors&gt;&lt;/contributors&gt;&lt;titles&gt;&lt;title&gt;Health Care Resources : Physicians by categories&lt;/title&gt;&lt;/titles&gt;&lt;number&gt;1 April 2023&lt;/number&gt;&lt;dates&gt;&lt;year&gt;2023&lt;/year&gt;&lt;/dates&gt;&lt;publisher&gt;OECD.Stat.&lt;/publisher&gt;&lt;urls&gt;&lt;related-urls&gt;&lt;url&gt;https://stats.oecd.org/Index.aspx?QueryId=30173&lt;/url&gt;&lt;/related-urls&gt;&lt;/urls&gt;&lt;/record&gt;&lt;/Cite&gt;&lt;/EndNote&gt;</w:instrText>
            </w:r>
            <w:r>
              <w:rPr>
                <w:sz w:val="20"/>
                <w:szCs w:val="18"/>
              </w:rPr>
              <w:fldChar w:fldCharType="separate"/>
            </w:r>
            <w:r w:rsidR="00F10FFB">
              <w:rPr>
                <w:noProof/>
                <w:sz w:val="20"/>
                <w:szCs w:val="18"/>
              </w:rPr>
              <w:t>[</w:t>
            </w:r>
            <w:hyperlink w:anchor="_ENREF_15" w:tooltip="OECD, 2023 #67" w:history="1">
              <w:r w:rsidR="00621D9C">
                <w:rPr>
                  <w:noProof/>
                  <w:sz w:val="20"/>
                  <w:szCs w:val="18"/>
                </w:rPr>
                <w:t>15</w:t>
              </w:r>
            </w:hyperlink>
            <w:r w:rsidR="00F10FFB">
              <w:rPr>
                <w:noProof/>
                <w:sz w:val="20"/>
                <w:szCs w:val="18"/>
              </w:rPr>
              <w:t>]</w:t>
            </w:r>
            <w:r>
              <w:rPr>
                <w:sz w:val="20"/>
                <w:szCs w:val="18"/>
              </w:rPr>
              <w:fldChar w:fldCharType="end"/>
            </w:r>
            <w:r w:rsidRPr="003C6CE9">
              <w:rPr>
                <w:sz w:val="20"/>
                <w:szCs w:val="18"/>
              </w:rPr>
              <w:fldChar w:fldCharType="end"/>
            </w:r>
          </w:p>
          <w:p w14:paraId="263EF47F" w14:textId="77777777" w:rsidR="00584C38" w:rsidRPr="003C6CE9" w:rsidRDefault="00584C38" w:rsidP="00584C38">
            <w:pPr>
              <w:pStyle w:val="ListParagraph"/>
              <w:numPr>
                <w:ilvl w:val="0"/>
                <w:numId w:val="1"/>
              </w:numPr>
              <w:rPr>
                <w:sz w:val="20"/>
                <w:szCs w:val="18"/>
              </w:rPr>
            </w:pPr>
          </w:p>
        </w:tc>
        <w:tc>
          <w:tcPr>
            <w:tcW w:w="2268" w:type="dxa"/>
          </w:tcPr>
          <w:p w14:paraId="58367E55" w14:textId="77777777" w:rsidR="00584C38" w:rsidRPr="003C6CE9" w:rsidRDefault="00584C38" w:rsidP="002D071A">
            <w:pPr>
              <w:rPr>
                <w:sz w:val="20"/>
                <w:szCs w:val="18"/>
              </w:rPr>
            </w:pPr>
            <w:r w:rsidRPr="003C6CE9">
              <w:rPr>
                <w:sz w:val="20"/>
                <w:szCs w:val="18"/>
              </w:rPr>
              <w:t>n.d.</w:t>
            </w:r>
          </w:p>
        </w:tc>
        <w:tc>
          <w:tcPr>
            <w:tcW w:w="2268" w:type="dxa"/>
          </w:tcPr>
          <w:p w14:paraId="3D9966AF" w14:textId="77777777" w:rsidR="00584C38" w:rsidRPr="003C6CE9" w:rsidRDefault="00584C38" w:rsidP="002D071A">
            <w:pPr>
              <w:rPr>
                <w:sz w:val="20"/>
                <w:szCs w:val="18"/>
              </w:rPr>
            </w:pPr>
            <w:r w:rsidRPr="003C6CE9">
              <w:rPr>
                <w:sz w:val="20"/>
                <w:szCs w:val="18"/>
              </w:rPr>
              <w:t>1.19 (2020)</w:t>
            </w:r>
          </w:p>
        </w:tc>
        <w:tc>
          <w:tcPr>
            <w:tcW w:w="2217" w:type="dxa"/>
          </w:tcPr>
          <w:p w14:paraId="41051F51" w14:textId="77777777" w:rsidR="00584C38" w:rsidRPr="003C6CE9" w:rsidRDefault="00584C38" w:rsidP="002D071A">
            <w:pPr>
              <w:rPr>
                <w:sz w:val="20"/>
                <w:szCs w:val="18"/>
              </w:rPr>
            </w:pPr>
            <w:r w:rsidRPr="003C6CE9">
              <w:rPr>
                <w:sz w:val="20"/>
                <w:szCs w:val="18"/>
              </w:rPr>
              <w:t>0.62 (2020)</w:t>
            </w:r>
          </w:p>
        </w:tc>
      </w:tr>
      <w:tr w:rsidR="00584C38" w:rsidRPr="003C6CE9" w14:paraId="1192B77A" w14:textId="77777777" w:rsidTr="002D071A">
        <w:tc>
          <w:tcPr>
            <w:tcW w:w="2405" w:type="dxa"/>
          </w:tcPr>
          <w:p w14:paraId="1CE9762A" w14:textId="7DDE971E" w:rsidR="00584C38" w:rsidRPr="003C6CE9" w:rsidRDefault="00584C38" w:rsidP="00621D9C">
            <w:pPr>
              <w:pStyle w:val="ListParagraph"/>
              <w:numPr>
                <w:ilvl w:val="0"/>
                <w:numId w:val="1"/>
              </w:numPr>
              <w:rPr>
                <w:sz w:val="20"/>
                <w:szCs w:val="18"/>
              </w:rPr>
            </w:pPr>
            <w:r w:rsidRPr="003C6CE9">
              <w:rPr>
                <w:sz w:val="20"/>
                <w:szCs w:val="18"/>
              </w:rPr>
              <w:t>Number of nurses per 1</w:t>
            </w:r>
            <w:r w:rsidR="00064C56">
              <w:rPr>
                <w:sz w:val="20"/>
                <w:szCs w:val="18"/>
              </w:rPr>
              <w:t>,</w:t>
            </w:r>
            <w:r w:rsidRPr="003C6CE9">
              <w:rPr>
                <w:sz w:val="20"/>
                <w:szCs w:val="18"/>
              </w:rPr>
              <w:t xml:space="preserve">000 inhabitants </w:t>
            </w:r>
            <w:r>
              <w:rPr>
                <w:sz w:val="20"/>
                <w:szCs w:val="18"/>
              </w:rPr>
              <w:fldChar w:fldCharType="begin"/>
            </w:r>
            <w:r w:rsidR="00F10FFB">
              <w:rPr>
                <w:sz w:val="20"/>
                <w:szCs w:val="18"/>
              </w:rPr>
              <w:instrText xml:space="preserve"> ADDIN EN.CITE &lt;EndNote&gt;&lt;Cite&gt;&lt;Author&gt;World Bank&lt;/Author&gt;&lt;Year&gt;2022&lt;/Year&gt;&lt;RecNum&gt;68&lt;/RecNum&gt;&lt;DisplayText&gt;[16]&lt;/DisplayText&gt;&lt;record&gt;&lt;rec-number&gt;68&lt;/rec-number&gt;&lt;foreign-keys&gt;&lt;key app="EN" db-id="dtax9522bvxwaoet2d3vfdzgvs5zee0022ap"&gt;68&lt;/key&gt;&lt;/foreign-keys&gt;&lt;ref-type name="Web Page"&gt;12&lt;/ref-type&gt;&lt;contributors&gt;&lt;authors&gt;&lt;author&gt;World Bank,&lt;/author&gt;&lt;/authors&gt;&lt;/contributors&gt;&lt;titles&gt;&lt;title&gt;Nurses and midwives (per 1,000 people) | Data&lt;/title&gt;&lt;/titles&gt;&lt;volume&gt;1 April 2023&lt;/volume&gt;&lt;dates&gt;&lt;year&gt;2022&lt;/year&gt;&lt;/dates&gt;&lt;publisher&gt;World Bank Open Data&lt;/publisher&gt;&lt;urls&gt;&lt;related-urls&gt;&lt;url&gt;https://data.worldbank.org/indicator/SH.MED.NUMW.P3&lt;/url&gt;&lt;/related-urls&gt;&lt;/urls&gt;&lt;/record&gt;&lt;/Cite&gt;&lt;/EndNote&gt;</w:instrText>
            </w:r>
            <w:r>
              <w:rPr>
                <w:sz w:val="20"/>
                <w:szCs w:val="18"/>
              </w:rPr>
              <w:fldChar w:fldCharType="separate"/>
            </w:r>
            <w:r w:rsidR="00F10FFB">
              <w:rPr>
                <w:noProof/>
                <w:sz w:val="20"/>
                <w:szCs w:val="18"/>
              </w:rPr>
              <w:t>[</w:t>
            </w:r>
            <w:hyperlink w:anchor="_ENREF_16" w:tooltip="World Bank, 2022 #68" w:history="1">
              <w:r w:rsidR="00621D9C">
                <w:rPr>
                  <w:noProof/>
                  <w:sz w:val="20"/>
                  <w:szCs w:val="18"/>
                </w:rPr>
                <w:t>16</w:t>
              </w:r>
            </w:hyperlink>
            <w:r w:rsidR="00F10FFB">
              <w:rPr>
                <w:noProof/>
                <w:sz w:val="20"/>
                <w:szCs w:val="18"/>
              </w:rPr>
              <w:t>]</w:t>
            </w:r>
            <w:r>
              <w:rPr>
                <w:sz w:val="20"/>
                <w:szCs w:val="18"/>
              </w:rPr>
              <w:fldChar w:fldCharType="end"/>
            </w:r>
            <w:r w:rsidRPr="003C6CE9">
              <w:rPr>
                <w:sz w:val="20"/>
                <w:szCs w:val="18"/>
              </w:rPr>
              <w:t xml:space="preserve"> </w:t>
            </w:r>
          </w:p>
        </w:tc>
        <w:tc>
          <w:tcPr>
            <w:tcW w:w="2268" w:type="dxa"/>
          </w:tcPr>
          <w:p w14:paraId="4366ED11" w14:textId="77777777" w:rsidR="00584C38" w:rsidRPr="003C6CE9" w:rsidRDefault="00584C38" w:rsidP="002D071A">
            <w:pPr>
              <w:rPr>
                <w:sz w:val="20"/>
                <w:szCs w:val="18"/>
              </w:rPr>
            </w:pPr>
            <w:r w:rsidRPr="003C6CE9">
              <w:rPr>
                <w:sz w:val="20"/>
                <w:szCs w:val="18"/>
              </w:rPr>
              <w:t>1</w:t>
            </w:r>
            <w:r>
              <w:rPr>
                <w:sz w:val="20"/>
                <w:szCs w:val="18"/>
              </w:rPr>
              <w:t>.</w:t>
            </w:r>
            <w:r w:rsidRPr="003C6CE9">
              <w:rPr>
                <w:sz w:val="20"/>
                <w:szCs w:val="18"/>
              </w:rPr>
              <w:t>0 (2019)</w:t>
            </w:r>
          </w:p>
        </w:tc>
        <w:tc>
          <w:tcPr>
            <w:tcW w:w="2268" w:type="dxa"/>
          </w:tcPr>
          <w:p w14:paraId="5EA18DC6" w14:textId="77777777" w:rsidR="00584C38" w:rsidRPr="003C6CE9" w:rsidRDefault="00584C38" w:rsidP="002D071A">
            <w:pPr>
              <w:rPr>
                <w:sz w:val="20"/>
                <w:szCs w:val="18"/>
              </w:rPr>
            </w:pPr>
            <w:r w:rsidRPr="003C6CE9">
              <w:rPr>
                <w:sz w:val="20"/>
                <w:szCs w:val="18"/>
              </w:rPr>
              <w:t>10.2 (2018)</w:t>
            </w:r>
          </w:p>
        </w:tc>
        <w:tc>
          <w:tcPr>
            <w:tcW w:w="2217" w:type="dxa"/>
          </w:tcPr>
          <w:p w14:paraId="76C8D4A5" w14:textId="77777777" w:rsidR="00584C38" w:rsidRPr="003C6CE9" w:rsidRDefault="00584C38" w:rsidP="002D071A">
            <w:pPr>
              <w:rPr>
                <w:sz w:val="20"/>
                <w:szCs w:val="18"/>
              </w:rPr>
            </w:pPr>
            <w:r w:rsidRPr="003C6CE9">
              <w:rPr>
                <w:sz w:val="20"/>
                <w:szCs w:val="18"/>
              </w:rPr>
              <w:t>11.8 (2015)</w:t>
            </w:r>
          </w:p>
        </w:tc>
      </w:tr>
      <w:tr w:rsidR="00584C38" w:rsidRPr="003C6CE9" w14:paraId="38931866" w14:textId="77777777" w:rsidTr="002D071A">
        <w:tc>
          <w:tcPr>
            <w:tcW w:w="9158" w:type="dxa"/>
            <w:gridSpan w:val="4"/>
            <w:shd w:val="clear" w:color="auto" w:fill="E7E6E6" w:themeFill="background2"/>
          </w:tcPr>
          <w:p w14:paraId="44958EC6" w14:textId="77777777" w:rsidR="00584C38" w:rsidRPr="003C6CE9" w:rsidRDefault="00584C38" w:rsidP="002D071A">
            <w:pPr>
              <w:rPr>
                <w:sz w:val="20"/>
                <w:szCs w:val="18"/>
              </w:rPr>
            </w:pPr>
            <w:r w:rsidRPr="003C6CE9">
              <w:rPr>
                <w:b/>
                <w:bCs/>
                <w:sz w:val="20"/>
                <w:szCs w:val="18"/>
              </w:rPr>
              <w:t>Demographics</w:t>
            </w:r>
          </w:p>
        </w:tc>
      </w:tr>
      <w:tr w:rsidR="00584C38" w:rsidRPr="003C6CE9" w14:paraId="70DD9397" w14:textId="77777777" w:rsidTr="002D071A">
        <w:trPr>
          <w:trHeight w:val="423"/>
        </w:trPr>
        <w:tc>
          <w:tcPr>
            <w:tcW w:w="2405" w:type="dxa"/>
          </w:tcPr>
          <w:p w14:paraId="7E1BCC0E" w14:textId="658CBE9E" w:rsidR="00584C38" w:rsidRPr="003C6CE9" w:rsidRDefault="00584C38" w:rsidP="00621D9C">
            <w:pPr>
              <w:pStyle w:val="ListParagraph"/>
              <w:numPr>
                <w:ilvl w:val="0"/>
                <w:numId w:val="1"/>
              </w:numPr>
              <w:rPr>
                <w:sz w:val="20"/>
                <w:szCs w:val="18"/>
              </w:rPr>
            </w:pPr>
            <w:r w:rsidRPr="003C6CE9">
              <w:rPr>
                <w:sz w:val="20"/>
                <w:szCs w:val="18"/>
              </w:rPr>
              <w:t xml:space="preserve">Total population </w:t>
            </w:r>
            <w:r w:rsidRPr="003C6CE9">
              <w:rPr>
                <w:sz w:val="20"/>
                <w:szCs w:val="18"/>
              </w:rPr>
              <w:fldChar w:fldCharType="begin" w:fldLock="1"/>
            </w:r>
            <w:r w:rsidRPr="003C6CE9">
              <w:rPr>
                <w:sz w:val="20"/>
                <w:szCs w:val="18"/>
              </w:rPr>
              <w:instrText>ADDIN CSL_CITATION {"citationItems":[{"id":"ITEM-1","itemData":{"ISBN":"9789240047761","ISSN":"00438502","abstract":"Examines the world problem of dealing with such diseases as cancer, tobacco-caused diseases, cystic fibrosis, inherited diseases, diabetes, brittle bones, heart attacks, and dental decay. -D.J.Davis","author":[{"dropping-particle":"","family":"Chigom","given":"E.","non-dropping-particle":"","parse-names":false,"suffix":""}],"container-title":"World Health","id":"ITEM-1","issued":{"date-parts":[["2022"]]},"title":"Non-communicable Diseases Progress Monitor 2022","type":"article-journal"},"uris":["http://www.mendeley.com/documents/?uuid=1cf24821-9b81-3da9-b1a3-f69857cf31c7"]}],"mendeley":{"formattedCitation":"[1]","plainTextFormattedCitation":"[1]","previouslyFormattedCitation":"[1]"},"properties":{"noteIndex":0},"schema":"https://github.com/citation-style-language/schema/raw/master/csl-citation.json"}</w:instrText>
            </w:r>
            <w:r w:rsidRPr="003C6CE9">
              <w:rPr>
                <w:sz w:val="20"/>
                <w:szCs w:val="18"/>
              </w:rPr>
              <w:fldChar w:fldCharType="separate"/>
            </w:r>
            <w:r>
              <w:rPr>
                <w:sz w:val="20"/>
                <w:szCs w:val="18"/>
              </w:rPr>
              <w:fldChar w:fldCharType="begin"/>
            </w:r>
            <w:r w:rsidR="00F10FFB">
              <w:rPr>
                <w:sz w:val="20"/>
                <w:szCs w:val="18"/>
              </w:rPr>
              <w:instrText xml:space="preserve"> ADDIN EN.CITE &lt;EndNote&gt;&lt;Cite&gt;&lt;Author&gt;World Health Organization&lt;/Author&gt;&lt;Year&gt;2022&lt;/Year&gt;&lt;RecNum&gt;1&lt;/RecNum&gt;&lt;DisplayText&gt;[17]&lt;/DisplayText&gt;&lt;record&gt;&lt;rec-number&gt;1&lt;/rec-number&gt;&lt;foreign-keys&gt;&lt;key app="EN" db-id="dtax9522bvxwaoet2d3vfdzgvs5zee0022ap"&gt;1&lt;/key&gt;&lt;/foreign-keys&gt;&lt;ref-type name="Web Page"&gt;12&lt;/ref-type&gt;&lt;contributors&gt;&lt;authors&gt;&lt;author&gt;World Health Organization,&lt;/author&gt;&lt;/authors&gt;&lt;/contributors&gt;&lt;titles&gt;&lt;title&gt;Noncommunicable Diseases Progress Monitor 2022&lt;/title&gt;&lt;/titles&gt;&lt;number&gt;1 April 2023&lt;/number&gt;&lt;dates&gt;&lt;year&gt;2022&lt;/year&gt;&lt;/dates&gt;&lt;pub-location&gt;Geneva&lt;/pub-location&gt;&lt;publisher&gt;World Health Organization&lt;/publisher&gt;&lt;urls&gt;&lt;related-urls&gt;&lt;url&gt;https://www.who.int/publications/i/item/9789240047761&lt;/url&gt;&lt;/related-urls&gt;&lt;/urls&gt;&lt;/record&gt;&lt;/Cite&gt;&lt;/EndNote&gt;</w:instrText>
            </w:r>
            <w:r>
              <w:rPr>
                <w:sz w:val="20"/>
                <w:szCs w:val="18"/>
              </w:rPr>
              <w:fldChar w:fldCharType="separate"/>
            </w:r>
            <w:r w:rsidR="00F10FFB">
              <w:rPr>
                <w:noProof/>
                <w:sz w:val="20"/>
                <w:szCs w:val="18"/>
              </w:rPr>
              <w:t>[</w:t>
            </w:r>
            <w:hyperlink w:anchor="_ENREF_17" w:tooltip="World Health Organization, 2022 #1" w:history="1">
              <w:r w:rsidR="00621D9C">
                <w:rPr>
                  <w:noProof/>
                  <w:sz w:val="20"/>
                  <w:szCs w:val="18"/>
                </w:rPr>
                <w:t>17</w:t>
              </w:r>
            </w:hyperlink>
            <w:r w:rsidR="00F10FFB">
              <w:rPr>
                <w:noProof/>
                <w:sz w:val="20"/>
                <w:szCs w:val="18"/>
              </w:rPr>
              <w:t>]</w:t>
            </w:r>
            <w:r>
              <w:rPr>
                <w:sz w:val="20"/>
                <w:szCs w:val="18"/>
              </w:rPr>
              <w:fldChar w:fldCharType="end"/>
            </w:r>
            <w:r w:rsidRPr="003C6CE9">
              <w:rPr>
                <w:sz w:val="20"/>
                <w:szCs w:val="18"/>
              </w:rPr>
              <w:fldChar w:fldCharType="end"/>
            </w:r>
          </w:p>
        </w:tc>
        <w:tc>
          <w:tcPr>
            <w:tcW w:w="2268" w:type="dxa"/>
          </w:tcPr>
          <w:p w14:paraId="0B702E79" w14:textId="77777777" w:rsidR="00584C38" w:rsidRPr="003C6CE9" w:rsidRDefault="00584C38" w:rsidP="002D071A">
            <w:pPr>
              <w:rPr>
                <w:sz w:val="20"/>
                <w:szCs w:val="18"/>
              </w:rPr>
            </w:pPr>
            <w:r w:rsidRPr="003C6CE9">
              <w:rPr>
                <w:sz w:val="20"/>
                <w:szCs w:val="18"/>
              </w:rPr>
              <w:t>16,487,000</w:t>
            </w:r>
          </w:p>
        </w:tc>
        <w:tc>
          <w:tcPr>
            <w:tcW w:w="2268" w:type="dxa"/>
          </w:tcPr>
          <w:p w14:paraId="69B39552" w14:textId="77777777" w:rsidR="00584C38" w:rsidRPr="003C6CE9" w:rsidRDefault="00584C38" w:rsidP="002D071A">
            <w:pPr>
              <w:rPr>
                <w:sz w:val="20"/>
                <w:szCs w:val="18"/>
              </w:rPr>
            </w:pPr>
            <w:r w:rsidRPr="003C6CE9">
              <w:rPr>
                <w:sz w:val="20"/>
                <w:szCs w:val="18"/>
              </w:rPr>
              <w:t>2,079,000</w:t>
            </w:r>
          </w:p>
        </w:tc>
        <w:tc>
          <w:tcPr>
            <w:tcW w:w="2217" w:type="dxa"/>
          </w:tcPr>
          <w:p w14:paraId="297461ED" w14:textId="77777777" w:rsidR="00584C38" w:rsidRPr="003C6CE9" w:rsidRDefault="00584C38" w:rsidP="002D071A">
            <w:pPr>
              <w:rPr>
                <w:sz w:val="20"/>
                <w:szCs w:val="18"/>
              </w:rPr>
            </w:pPr>
            <w:r w:rsidRPr="003C6CE9">
              <w:rPr>
                <w:sz w:val="20"/>
                <w:szCs w:val="18"/>
              </w:rPr>
              <w:t>11,539,000</w:t>
            </w:r>
          </w:p>
        </w:tc>
      </w:tr>
      <w:tr w:rsidR="00584C38" w:rsidRPr="003C6CE9" w14:paraId="0E8D7241" w14:textId="77777777" w:rsidTr="002D071A">
        <w:tc>
          <w:tcPr>
            <w:tcW w:w="2405" w:type="dxa"/>
          </w:tcPr>
          <w:p w14:paraId="7F740788" w14:textId="318BA3BB" w:rsidR="00584C38" w:rsidRPr="003C6CE9" w:rsidRDefault="00584C38" w:rsidP="00621D9C">
            <w:pPr>
              <w:pStyle w:val="ListParagraph"/>
              <w:numPr>
                <w:ilvl w:val="0"/>
                <w:numId w:val="2"/>
              </w:numPr>
              <w:rPr>
                <w:rFonts w:eastAsia="Times New Roman" w:cs="Times New Roman"/>
                <w:sz w:val="20"/>
                <w:szCs w:val="20"/>
                <w:lang w:eastAsia="nl-BE"/>
              </w:rPr>
            </w:pPr>
            <w:r w:rsidRPr="003C6CE9">
              <w:rPr>
                <w:rFonts w:eastAsia="Times New Roman" w:cs="Times New Roman"/>
                <w:sz w:val="20"/>
                <w:szCs w:val="20"/>
                <w:lang w:eastAsia="nl-BE"/>
              </w:rPr>
              <w:t xml:space="preserve">Population older than 65 (% of total population) </w:t>
            </w:r>
            <w:r w:rsidRPr="003C6CE9">
              <w:rPr>
                <w:rFonts w:eastAsia="Times New Roman" w:cs="Times New Roman"/>
                <w:sz w:val="20"/>
                <w:szCs w:val="20"/>
                <w:lang w:eastAsia="nl-BE"/>
              </w:rPr>
              <w:fldChar w:fldCharType="begin" w:fldLock="1"/>
            </w:r>
            <w:r w:rsidRPr="003C6CE9">
              <w:rPr>
                <w:rFonts w:eastAsia="Times New Roman" w:cs="Times New Roman"/>
                <w:sz w:val="20"/>
                <w:szCs w:val="20"/>
                <w:lang w:eastAsia="nl-BE"/>
              </w:rPr>
              <w:instrText>ADDIN CSL_CITATION {"citationItems":[{"id":"ITEM-1","itemData":{"URL":"https://data.worldbank.org/indicator/SP.POP.65UP.TO.ZS","accessed":{"date-parts":[["2022","8","4"]]},"author":[{"dropping-particle":"","family":"World Bank","given":"","non-dropping-particle":"","parse-names":false,"suffix":""}],"container-title":"World Bank Open Data","id":"ITEM-1","issued":{"date-parts":[["2022"]]},"title":"Population ages 65 and above (% of total population) | Data","type":"webpage"},"uris":["http://www.mendeley.com/documents/?uuid=b651ff70-848d-320c-8a85-5c2c2054e387"]}],"mendeley":{"formattedCitation":"[48]","plainTextFormattedCitation":"[48]","previouslyFormattedCitation":"[48]"},"properties":{"noteIndex":0},"schema":"https://github.com/citation-style-language/schema/raw/master/csl-citation.json"}</w:instrText>
            </w:r>
            <w:r w:rsidRPr="003C6CE9">
              <w:rPr>
                <w:rFonts w:eastAsia="Times New Roman" w:cs="Times New Roman"/>
                <w:sz w:val="20"/>
                <w:szCs w:val="20"/>
                <w:lang w:eastAsia="nl-BE"/>
              </w:rPr>
              <w:fldChar w:fldCharType="separate"/>
            </w:r>
            <w:r>
              <w:rPr>
                <w:rFonts w:eastAsia="Times New Roman" w:cs="Times New Roman"/>
                <w:sz w:val="20"/>
                <w:szCs w:val="20"/>
                <w:lang w:eastAsia="nl-BE"/>
              </w:rPr>
              <w:fldChar w:fldCharType="begin"/>
            </w:r>
            <w:r w:rsidR="00F10FFB">
              <w:rPr>
                <w:rFonts w:eastAsia="Times New Roman" w:cs="Times New Roman"/>
                <w:sz w:val="20"/>
                <w:szCs w:val="20"/>
                <w:lang w:eastAsia="nl-BE"/>
              </w:rPr>
              <w:instrText xml:space="preserve"> ADDIN EN.CITE &lt;EndNote&gt;&lt;Cite&gt;&lt;Author&gt;World Bank&lt;/Author&gt;&lt;Year&gt;2022&lt;/Year&gt;&lt;RecNum&gt;69&lt;/RecNum&gt;&lt;DisplayText&gt;[18]&lt;/DisplayText&gt;&lt;record&gt;&lt;rec-number&gt;69&lt;/rec-number&gt;&lt;foreign-keys&gt;&lt;key app="EN" db-id="dtax9522bvxwaoet2d3vfdzgvs5zee0022ap"&gt;69&lt;/key&gt;&lt;/foreign-keys&gt;&lt;ref-type name="Web Page"&gt;12&lt;/ref-type&gt;&lt;contributors&gt;&lt;authors&gt;&lt;author&gt;World Bank,&lt;/author&gt;&lt;/authors&gt;&lt;/contributors&gt;&lt;titles&gt;&lt;title&gt;Population ages 65 and above (% of total population) | Data&lt;/title&gt;&lt;/titles&gt;&lt;volume&gt;1 April 2023&lt;/volume&gt;&lt;dates&gt;&lt;year&gt;2022&lt;/year&gt;&lt;/dates&gt;&lt;publisher&gt;World Bank Open Data&lt;/publisher&gt;&lt;urls&gt;&lt;related-urls&gt;&lt;url&gt;https://data.worldbank.org/indicator/SP.POP.65UP.TO.ZS&lt;/url&gt;&lt;/related-urls&gt;&lt;/urls&gt;&lt;/record&gt;&lt;/Cite&gt;&lt;/EndNote&gt;</w:instrText>
            </w:r>
            <w:r>
              <w:rPr>
                <w:rFonts w:eastAsia="Times New Roman" w:cs="Times New Roman"/>
                <w:sz w:val="20"/>
                <w:szCs w:val="20"/>
                <w:lang w:eastAsia="nl-BE"/>
              </w:rPr>
              <w:fldChar w:fldCharType="separate"/>
            </w:r>
            <w:r w:rsidR="00F10FFB">
              <w:rPr>
                <w:rFonts w:eastAsia="Times New Roman" w:cs="Times New Roman"/>
                <w:noProof/>
                <w:sz w:val="20"/>
                <w:szCs w:val="20"/>
                <w:lang w:eastAsia="nl-BE"/>
              </w:rPr>
              <w:t>[</w:t>
            </w:r>
            <w:hyperlink w:anchor="_ENREF_18" w:tooltip="World Bank, 2022 #69" w:history="1">
              <w:r w:rsidR="00621D9C">
                <w:rPr>
                  <w:rFonts w:eastAsia="Times New Roman" w:cs="Times New Roman"/>
                  <w:noProof/>
                  <w:sz w:val="20"/>
                  <w:szCs w:val="20"/>
                  <w:lang w:eastAsia="nl-BE"/>
                </w:rPr>
                <w:t>18</w:t>
              </w:r>
            </w:hyperlink>
            <w:r w:rsidR="00F10FFB">
              <w:rPr>
                <w:rFonts w:eastAsia="Times New Roman" w:cs="Times New Roman"/>
                <w:noProof/>
                <w:sz w:val="20"/>
                <w:szCs w:val="20"/>
                <w:lang w:eastAsia="nl-BE"/>
              </w:rPr>
              <w:t>]</w:t>
            </w:r>
            <w:r>
              <w:rPr>
                <w:rFonts w:eastAsia="Times New Roman" w:cs="Times New Roman"/>
                <w:sz w:val="20"/>
                <w:szCs w:val="20"/>
                <w:lang w:eastAsia="nl-BE"/>
              </w:rPr>
              <w:fldChar w:fldCharType="end"/>
            </w:r>
            <w:r w:rsidRPr="003C6CE9">
              <w:rPr>
                <w:rFonts w:eastAsia="Times New Roman" w:cs="Times New Roman"/>
                <w:sz w:val="20"/>
                <w:szCs w:val="20"/>
                <w:lang w:eastAsia="nl-BE"/>
              </w:rPr>
              <w:fldChar w:fldCharType="end"/>
            </w:r>
          </w:p>
        </w:tc>
        <w:tc>
          <w:tcPr>
            <w:tcW w:w="2268" w:type="dxa"/>
          </w:tcPr>
          <w:p w14:paraId="2151DA07" w14:textId="77777777" w:rsidR="00584C38" w:rsidRPr="003C6CE9" w:rsidRDefault="00584C38" w:rsidP="002D071A">
            <w:pPr>
              <w:rPr>
                <w:rFonts w:eastAsia="Times New Roman" w:cs="Times New Roman"/>
                <w:sz w:val="20"/>
                <w:szCs w:val="20"/>
                <w:lang w:eastAsia="nl-BE"/>
              </w:rPr>
            </w:pPr>
            <w:r w:rsidRPr="003C6CE9">
              <w:rPr>
                <w:rFonts w:eastAsia="Times New Roman" w:cs="Times New Roman"/>
                <w:sz w:val="20"/>
                <w:szCs w:val="20"/>
                <w:lang w:eastAsia="nl-BE"/>
              </w:rPr>
              <w:t>5% (2021)</w:t>
            </w:r>
          </w:p>
        </w:tc>
        <w:tc>
          <w:tcPr>
            <w:tcW w:w="2268" w:type="dxa"/>
          </w:tcPr>
          <w:p w14:paraId="5C260E7D" w14:textId="77777777" w:rsidR="00584C38" w:rsidRPr="003C6CE9" w:rsidRDefault="00584C38" w:rsidP="002D071A">
            <w:pPr>
              <w:rPr>
                <w:rFonts w:eastAsia="Times New Roman" w:cs="Times New Roman"/>
                <w:sz w:val="20"/>
                <w:szCs w:val="20"/>
                <w:lang w:eastAsia="nl-BE"/>
              </w:rPr>
            </w:pPr>
            <w:r w:rsidRPr="003C6CE9">
              <w:rPr>
                <w:rFonts w:eastAsia="Times New Roman" w:cs="Times New Roman"/>
                <w:sz w:val="20"/>
                <w:szCs w:val="20"/>
                <w:lang w:eastAsia="nl-BE"/>
              </w:rPr>
              <w:t>21% (2021)</w:t>
            </w:r>
          </w:p>
        </w:tc>
        <w:tc>
          <w:tcPr>
            <w:tcW w:w="2217" w:type="dxa"/>
          </w:tcPr>
          <w:p w14:paraId="3B06CA58" w14:textId="77777777" w:rsidR="00584C38" w:rsidRPr="003C6CE9" w:rsidRDefault="00584C38" w:rsidP="002D071A">
            <w:pPr>
              <w:rPr>
                <w:rFonts w:eastAsia="Times New Roman" w:cs="Times New Roman"/>
                <w:sz w:val="20"/>
                <w:szCs w:val="20"/>
                <w:lang w:eastAsia="nl-BE"/>
              </w:rPr>
            </w:pPr>
            <w:r w:rsidRPr="003C6CE9">
              <w:rPr>
                <w:rFonts w:eastAsia="Times New Roman" w:cs="Times New Roman"/>
                <w:sz w:val="20"/>
                <w:szCs w:val="20"/>
                <w:lang w:eastAsia="nl-BE"/>
              </w:rPr>
              <w:t>20% (2021)</w:t>
            </w:r>
          </w:p>
        </w:tc>
      </w:tr>
      <w:tr w:rsidR="00584C38" w:rsidRPr="003C6CE9" w14:paraId="59814198" w14:textId="77777777" w:rsidTr="002D071A">
        <w:tc>
          <w:tcPr>
            <w:tcW w:w="2405" w:type="dxa"/>
          </w:tcPr>
          <w:p w14:paraId="6364EABF" w14:textId="46833476" w:rsidR="00584C38" w:rsidRPr="003C6CE9" w:rsidRDefault="00584C38" w:rsidP="00621D9C">
            <w:pPr>
              <w:pStyle w:val="ListParagraph"/>
              <w:numPr>
                <w:ilvl w:val="0"/>
                <w:numId w:val="1"/>
              </w:numPr>
              <w:rPr>
                <w:rFonts w:eastAsia="Times New Roman" w:cs="Times New Roman"/>
                <w:sz w:val="20"/>
                <w:szCs w:val="20"/>
                <w:lang w:eastAsia="nl-BE"/>
              </w:rPr>
            </w:pPr>
            <w:r w:rsidRPr="003C6CE9">
              <w:rPr>
                <w:sz w:val="20"/>
                <w:szCs w:val="18"/>
              </w:rPr>
              <w:t xml:space="preserve">Life expectancy at birth, total (years) </w:t>
            </w:r>
            <w:r w:rsidRPr="003C6CE9">
              <w:rPr>
                <w:sz w:val="20"/>
                <w:szCs w:val="18"/>
              </w:rPr>
              <w:fldChar w:fldCharType="begin" w:fldLock="1"/>
            </w:r>
            <w:r w:rsidRPr="003C6CE9">
              <w:rPr>
                <w:sz w:val="20"/>
                <w:szCs w:val="18"/>
              </w:rPr>
              <w:instrText>ADDIN CSL_CITATION {"citationItems":[{"id":"ITEM-1","itemData":{"URL":"https://data.worldbank.org/indicator/SP.DYN.LE00.IN?name_desc=false","accessed":{"date-parts":[["2022","8","4"]]},"author":[{"dropping-particle":"","family":"World Bank","given":"","non-dropping-particle":"","parse-names":false,"suffix":""}],"container-title":"World Bank Open Data","id":"ITEM-1","issued":{"date-parts":[["2022"]]},"title":"Life expectancy at birth, total (years) | Data","type":"webpage"},"uris":["http://www.mendeley.com/documents/?uuid=87cc65eb-a27c-38c3-a312-0d22d5946c83"]}],"mendeley":{"formattedCitation":"[49]","plainTextFormattedCitation":"[49]","previouslyFormattedCitation":"[49]"},"properties":{"noteIndex":0},"schema":"https://github.com/citation-style-language/schema/raw/master/csl-citation.json"}</w:instrText>
            </w:r>
            <w:r w:rsidRPr="003C6CE9">
              <w:rPr>
                <w:sz w:val="20"/>
                <w:szCs w:val="18"/>
              </w:rPr>
              <w:fldChar w:fldCharType="separate"/>
            </w:r>
            <w:r>
              <w:rPr>
                <w:sz w:val="20"/>
                <w:szCs w:val="18"/>
              </w:rPr>
              <w:fldChar w:fldCharType="begin"/>
            </w:r>
            <w:r w:rsidR="00F10FFB">
              <w:rPr>
                <w:sz w:val="20"/>
                <w:szCs w:val="18"/>
              </w:rPr>
              <w:instrText xml:space="preserve"> ADDIN EN.CITE &lt;EndNote&gt;&lt;Cite&gt;&lt;Author&gt;World Bank&lt;/Author&gt;&lt;Year&gt;2022&lt;/Year&gt;&lt;RecNum&gt;70&lt;/RecNum&gt;&lt;DisplayText&gt;[19]&lt;/DisplayText&gt;&lt;record&gt;&lt;rec-number&gt;70&lt;/rec-number&gt;&lt;foreign-keys&gt;&lt;key app="EN" db-id="dtax9522bvxwaoet2d3vfdzgvs5zee0022ap"&gt;70&lt;/key&gt;&lt;/foreign-keys&gt;&lt;ref-type name="Web Page"&gt;12&lt;/ref-type&gt;&lt;contributors&gt;&lt;authors&gt;&lt;author&gt;World Bank,&lt;/author&gt;&lt;/authors&gt;&lt;/contributors&gt;&lt;titles&gt;&lt;title&gt;Life expectancy at birth, total (years) | Data&lt;/title&gt;&lt;/titles&gt;&lt;volume&gt;1 April 2023&lt;/volume&gt;&lt;dates&gt;&lt;year&gt;2022&lt;/year&gt;&lt;/dates&gt;&lt;publisher&gt;World Bank Open Data&lt;/publisher&gt;&lt;urls&gt;&lt;related-urls&gt;&lt;url&gt;https://data.worldbank.org/indicator/SP.DYN.LE00.IN?name_desc=false&lt;/url&gt;&lt;/related-urls&gt;&lt;/urls&gt;&lt;/record&gt;&lt;/Cite&gt;&lt;/EndNote&gt;</w:instrText>
            </w:r>
            <w:r>
              <w:rPr>
                <w:sz w:val="20"/>
                <w:szCs w:val="18"/>
              </w:rPr>
              <w:fldChar w:fldCharType="separate"/>
            </w:r>
            <w:r w:rsidR="00F10FFB">
              <w:rPr>
                <w:noProof/>
                <w:sz w:val="20"/>
                <w:szCs w:val="18"/>
              </w:rPr>
              <w:t>[</w:t>
            </w:r>
            <w:hyperlink w:anchor="_ENREF_19" w:tooltip="World Bank, 2022 #70" w:history="1">
              <w:r w:rsidR="00621D9C">
                <w:rPr>
                  <w:noProof/>
                  <w:sz w:val="20"/>
                  <w:szCs w:val="18"/>
                </w:rPr>
                <w:t>19</w:t>
              </w:r>
            </w:hyperlink>
            <w:r w:rsidR="00F10FFB">
              <w:rPr>
                <w:noProof/>
                <w:sz w:val="20"/>
                <w:szCs w:val="18"/>
              </w:rPr>
              <w:t>]</w:t>
            </w:r>
            <w:r>
              <w:rPr>
                <w:sz w:val="20"/>
                <w:szCs w:val="18"/>
              </w:rPr>
              <w:fldChar w:fldCharType="end"/>
            </w:r>
            <w:r w:rsidRPr="003C6CE9">
              <w:rPr>
                <w:sz w:val="20"/>
                <w:szCs w:val="18"/>
              </w:rPr>
              <w:fldChar w:fldCharType="end"/>
            </w:r>
          </w:p>
        </w:tc>
        <w:tc>
          <w:tcPr>
            <w:tcW w:w="2268" w:type="dxa"/>
          </w:tcPr>
          <w:p w14:paraId="318E9800" w14:textId="77777777" w:rsidR="00584C38" w:rsidRPr="003C6CE9" w:rsidRDefault="00584C38" w:rsidP="002D071A">
            <w:pPr>
              <w:rPr>
                <w:rFonts w:eastAsia="Times New Roman" w:cs="Times New Roman"/>
                <w:sz w:val="20"/>
                <w:szCs w:val="20"/>
                <w:lang w:eastAsia="nl-BE"/>
              </w:rPr>
            </w:pPr>
            <w:r w:rsidRPr="003C6CE9">
              <w:rPr>
                <w:rFonts w:eastAsia="Times New Roman" w:cs="Times New Roman"/>
                <w:sz w:val="20"/>
                <w:szCs w:val="20"/>
                <w:lang w:eastAsia="nl-BE"/>
              </w:rPr>
              <w:t>70 (2020)</w:t>
            </w:r>
          </w:p>
        </w:tc>
        <w:tc>
          <w:tcPr>
            <w:tcW w:w="2268" w:type="dxa"/>
          </w:tcPr>
          <w:p w14:paraId="466A0015" w14:textId="77777777" w:rsidR="00584C38" w:rsidRPr="003C6CE9" w:rsidRDefault="00584C38" w:rsidP="002D071A">
            <w:pPr>
              <w:rPr>
                <w:rFonts w:eastAsia="Times New Roman" w:cs="Times New Roman"/>
                <w:sz w:val="20"/>
                <w:szCs w:val="20"/>
                <w:lang w:eastAsia="nl-BE"/>
              </w:rPr>
            </w:pPr>
            <w:r w:rsidRPr="003C6CE9">
              <w:rPr>
                <w:rFonts w:eastAsia="Times New Roman" w:cs="Times New Roman"/>
                <w:sz w:val="20"/>
                <w:szCs w:val="20"/>
                <w:lang w:eastAsia="nl-BE"/>
              </w:rPr>
              <w:t>81 (2020)</w:t>
            </w:r>
          </w:p>
        </w:tc>
        <w:tc>
          <w:tcPr>
            <w:tcW w:w="2217" w:type="dxa"/>
          </w:tcPr>
          <w:p w14:paraId="6B91F56D" w14:textId="77777777" w:rsidR="00584C38" w:rsidRPr="003C6CE9" w:rsidRDefault="00584C38" w:rsidP="002D071A">
            <w:pPr>
              <w:rPr>
                <w:rFonts w:eastAsia="Times New Roman" w:cs="Times New Roman"/>
                <w:sz w:val="20"/>
                <w:szCs w:val="20"/>
                <w:lang w:eastAsia="nl-BE"/>
              </w:rPr>
            </w:pPr>
            <w:r w:rsidRPr="003C6CE9">
              <w:rPr>
                <w:sz w:val="20"/>
                <w:szCs w:val="18"/>
              </w:rPr>
              <w:t>81 (2020)</w:t>
            </w:r>
          </w:p>
        </w:tc>
      </w:tr>
      <w:tr w:rsidR="00584C38" w:rsidRPr="003C6CE9" w14:paraId="3924C623" w14:textId="77777777" w:rsidTr="002D071A">
        <w:tc>
          <w:tcPr>
            <w:tcW w:w="2405" w:type="dxa"/>
          </w:tcPr>
          <w:p w14:paraId="4EBE4CBE" w14:textId="77777777" w:rsidR="00584C38" w:rsidRPr="003C6CE9" w:rsidRDefault="00584C38" w:rsidP="00584C38">
            <w:pPr>
              <w:pStyle w:val="ListParagraph"/>
              <w:numPr>
                <w:ilvl w:val="0"/>
                <w:numId w:val="1"/>
              </w:numPr>
              <w:rPr>
                <w:sz w:val="20"/>
                <w:szCs w:val="18"/>
              </w:rPr>
            </w:pPr>
            <w:r w:rsidRPr="003C6CE9">
              <w:rPr>
                <w:sz w:val="20"/>
                <w:szCs w:val="18"/>
              </w:rPr>
              <w:t>Probability of premature mortality from NCDs</w:t>
            </w:r>
          </w:p>
        </w:tc>
        <w:tc>
          <w:tcPr>
            <w:tcW w:w="2268" w:type="dxa"/>
          </w:tcPr>
          <w:p w14:paraId="7592FDC5" w14:textId="77777777" w:rsidR="00584C38" w:rsidRPr="003C6CE9" w:rsidRDefault="00584C38" w:rsidP="002D071A">
            <w:pPr>
              <w:rPr>
                <w:sz w:val="20"/>
                <w:szCs w:val="18"/>
              </w:rPr>
            </w:pPr>
            <w:r w:rsidRPr="003C6CE9">
              <w:rPr>
                <w:sz w:val="20"/>
                <w:szCs w:val="18"/>
              </w:rPr>
              <w:t>23%</w:t>
            </w:r>
          </w:p>
        </w:tc>
        <w:tc>
          <w:tcPr>
            <w:tcW w:w="2268" w:type="dxa"/>
          </w:tcPr>
          <w:p w14:paraId="231E6C39" w14:textId="77777777" w:rsidR="00584C38" w:rsidRPr="003C6CE9" w:rsidRDefault="00584C38" w:rsidP="002D071A">
            <w:pPr>
              <w:rPr>
                <w:rFonts w:eastAsia="Times New Roman" w:cs="Times New Roman"/>
                <w:sz w:val="20"/>
                <w:szCs w:val="20"/>
                <w:lang w:eastAsia="nl-BE"/>
              </w:rPr>
            </w:pPr>
            <w:r w:rsidRPr="003C6CE9">
              <w:rPr>
                <w:sz w:val="20"/>
                <w:szCs w:val="18"/>
              </w:rPr>
              <w:t>11%</w:t>
            </w:r>
          </w:p>
        </w:tc>
        <w:tc>
          <w:tcPr>
            <w:tcW w:w="2217" w:type="dxa"/>
          </w:tcPr>
          <w:p w14:paraId="612A91B5" w14:textId="77777777" w:rsidR="00584C38" w:rsidRPr="003C6CE9" w:rsidRDefault="00584C38" w:rsidP="002D071A">
            <w:pPr>
              <w:rPr>
                <w:rFonts w:eastAsia="Times New Roman" w:cs="Times New Roman"/>
                <w:sz w:val="20"/>
                <w:szCs w:val="20"/>
                <w:lang w:eastAsia="nl-BE"/>
              </w:rPr>
            </w:pPr>
            <w:r w:rsidRPr="003C6CE9">
              <w:rPr>
                <w:sz w:val="20"/>
                <w:szCs w:val="18"/>
              </w:rPr>
              <w:t>11%</w:t>
            </w:r>
          </w:p>
        </w:tc>
      </w:tr>
      <w:tr w:rsidR="00584C38" w:rsidRPr="003C6CE9" w14:paraId="121DD757" w14:textId="77777777" w:rsidTr="002D071A">
        <w:tc>
          <w:tcPr>
            <w:tcW w:w="2405" w:type="dxa"/>
          </w:tcPr>
          <w:p w14:paraId="52D21072" w14:textId="1B2B79AC" w:rsidR="00584C38" w:rsidRPr="003C6CE9" w:rsidRDefault="00584C38" w:rsidP="00621D9C">
            <w:pPr>
              <w:pStyle w:val="ListParagraph"/>
              <w:numPr>
                <w:ilvl w:val="0"/>
                <w:numId w:val="1"/>
              </w:numPr>
              <w:rPr>
                <w:color w:val="C00000"/>
                <w:sz w:val="20"/>
                <w:szCs w:val="18"/>
              </w:rPr>
            </w:pPr>
            <w:r w:rsidRPr="003C6CE9">
              <w:rPr>
                <w:sz w:val="20"/>
                <w:szCs w:val="18"/>
              </w:rPr>
              <w:t xml:space="preserve">Percentage of deaths from NCDs </w:t>
            </w:r>
            <w:r w:rsidRPr="003C6CE9">
              <w:rPr>
                <w:sz w:val="20"/>
                <w:szCs w:val="18"/>
              </w:rPr>
              <w:fldChar w:fldCharType="begin" w:fldLock="1"/>
            </w:r>
            <w:r w:rsidRPr="003C6CE9">
              <w:rPr>
                <w:sz w:val="20"/>
                <w:szCs w:val="18"/>
              </w:rPr>
              <w:instrText>ADDIN CSL_CITATION {"citationItems":[{"id":"ITEM-1","itemData":{"ISBN":"9789240047761","ISSN":"00438502","abstract":"Examines the world problem of dealing with such diseases as cancer, tobacco-caused diseases, cystic fibrosis, inherited diseases, diabetes, brittle bones, heart attacks, and dental decay. -D.J.Davis","author":[{"dropping-particle":"","family":"Chigom","given":"E.","non-dropping-particle":"","parse-names":false,"suffix":""}],"container-title":"World Health","id":"ITEM-1","issued":{"date-parts":[["2022"]]},"title":"Non-communicable Diseases Progress Monitor 2022","type":"article-journal"},"uris":["http://www.mendeley.com/documents/?uuid=1cf24821-9b81-3da9-b1a3-f69857cf31c7"]}],"mendeley":{"formattedCitation":"[1]","plainTextFormattedCitation":"[1]","previouslyFormattedCitation":"[1]"},"properties":{"noteIndex":0},"schema":"https://github.com/citation-style-language/schema/raw/master/csl-citation.json"}</w:instrText>
            </w:r>
            <w:r w:rsidRPr="003C6CE9">
              <w:rPr>
                <w:sz w:val="20"/>
                <w:szCs w:val="18"/>
              </w:rPr>
              <w:fldChar w:fldCharType="separate"/>
            </w:r>
            <w:r>
              <w:rPr>
                <w:sz w:val="20"/>
                <w:szCs w:val="18"/>
              </w:rPr>
              <w:fldChar w:fldCharType="begin"/>
            </w:r>
            <w:r w:rsidR="00F10FFB">
              <w:rPr>
                <w:sz w:val="20"/>
                <w:szCs w:val="18"/>
              </w:rPr>
              <w:instrText xml:space="preserve"> ADDIN EN.CITE &lt;EndNote&gt;&lt;Cite&gt;&lt;Author&gt;World Health Organization&lt;/Author&gt;&lt;Year&gt;2022&lt;/Year&gt;&lt;RecNum&gt;1&lt;/RecNum&gt;&lt;DisplayText&gt;[17]&lt;/DisplayText&gt;&lt;record&gt;&lt;rec-number&gt;1&lt;/rec-number&gt;&lt;foreign-keys&gt;&lt;key app="EN" db-id="dtax9522bvxwaoet2d3vfdzgvs5zee0022ap"&gt;1&lt;/key&gt;&lt;/foreign-keys&gt;&lt;ref-type name="Web Page"&gt;12&lt;/ref-type&gt;&lt;contributors&gt;&lt;authors&gt;&lt;author&gt;World Health Organization,&lt;/author&gt;&lt;/authors&gt;&lt;/contributors&gt;&lt;titles&gt;&lt;title&gt;Noncommunicable Diseases Progress Monitor 2022&lt;/title&gt;&lt;/titles&gt;&lt;number&gt;1 April 2023&lt;/number&gt;&lt;dates&gt;&lt;year&gt;2022&lt;/year&gt;&lt;/dates&gt;&lt;pub-location&gt;Geneva&lt;/pub-location&gt;&lt;publisher&gt;World Health Organization&lt;/publisher&gt;&lt;urls&gt;&lt;related-urls&gt;&lt;url&gt;https://www.who.int/publications/i/item/9789240047761&lt;/url&gt;&lt;/related-urls&gt;&lt;/urls&gt;&lt;/record&gt;&lt;/Cite&gt;&lt;/EndNote&gt;</w:instrText>
            </w:r>
            <w:r>
              <w:rPr>
                <w:sz w:val="20"/>
                <w:szCs w:val="18"/>
              </w:rPr>
              <w:fldChar w:fldCharType="separate"/>
            </w:r>
            <w:r w:rsidR="00F10FFB">
              <w:rPr>
                <w:noProof/>
                <w:sz w:val="20"/>
                <w:szCs w:val="18"/>
              </w:rPr>
              <w:t>[</w:t>
            </w:r>
            <w:hyperlink w:anchor="_ENREF_17" w:tooltip="World Health Organization, 2022 #1" w:history="1">
              <w:r w:rsidR="00621D9C">
                <w:rPr>
                  <w:noProof/>
                  <w:sz w:val="20"/>
                  <w:szCs w:val="18"/>
                </w:rPr>
                <w:t>17</w:t>
              </w:r>
            </w:hyperlink>
            <w:r w:rsidR="00F10FFB">
              <w:rPr>
                <w:noProof/>
                <w:sz w:val="20"/>
                <w:szCs w:val="18"/>
              </w:rPr>
              <w:t>]</w:t>
            </w:r>
            <w:r>
              <w:rPr>
                <w:sz w:val="20"/>
                <w:szCs w:val="18"/>
              </w:rPr>
              <w:fldChar w:fldCharType="end"/>
            </w:r>
            <w:r w:rsidRPr="003C6CE9">
              <w:rPr>
                <w:sz w:val="20"/>
                <w:szCs w:val="18"/>
              </w:rPr>
              <w:fldChar w:fldCharType="end"/>
            </w:r>
          </w:p>
        </w:tc>
        <w:tc>
          <w:tcPr>
            <w:tcW w:w="2268" w:type="dxa"/>
          </w:tcPr>
          <w:p w14:paraId="5FCDB62F" w14:textId="77777777" w:rsidR="00584C38" w:rsidRPr="003C6CE9" w:rsidRDefault="00584C38" w:rsidP="002D071A">
            <w:pPr>
              <w:rPr>
                <w:sz w:val="20"/>
                <w:szCs w:val="18"/>
              </w:rPr>
            </w:pPr>
            <w:r w:rsidRPr="003C6CE9">
              <w:rPr>
                <w:sz w:val="20"/>
                <w:szCs w:val="18"/>
              </w:rPr>
              <w:t>68%</w:t>
            </w:r>
          </w:p>
        </w:tc>
        <w:tc>
          <w:tcPr>
            <w:tcW w:w="2268" w:type="dxa"/>
          </w:tcPr>
          <w:p w14:paraId="71D321EE" w14:textId="77777777" w:rsidR="00584C38" w:rsidRPr="003C6CE9" w:rsidRDefault="00584C38" w:rsidP="002D071A">
            <w:pPr>
              <w:rPr>
                <w:sz w:val="20"/>
                <w:szCs w:val="18"/>
              </w:rPr>
            </w:pPr>
            <w:r w:rsidRPr="003C6CE9">
              <w:rPr>
                <w:sz w:val="20"/>
                <w:szCs w:val="18"/>
              </w:rPr>
              <w:t>90%</w:t>
            </w:r>
          </w:p>
        </w:tc>
        <w:tc>
          <w:tcPr>
            <w:tcW w:w="2217" w:type="dxa"/>
          </w:tcPr>
          <w:p w14:paraId="4BC9A723" w14:textId="77777777" w:rsidR="00584C38" w:rsidRPr="003C6CE9" w:rsidRDefault="00584C38" w:rsidP="002D071A">
            <w:pPr>
              <w:rPr>
                <w:sz w:val="20"/>
                <w:szCs w:val="18"/>
              </w:rPr>
            </w:pPr>
            <w:r w:rsidRPr="003C6CE9">
              <w:rPr>
                <w:sz w:val="20"/>
                <w:szCs w:val="18"/>
              </w:rPr>
              <w:t>86%</w:t>
            </w:r>
          </w:p>
        </w:tc>
      </w:tr>
    </w:tbl>
    <w:p w14:paraId="1DDACE1E" w14:textId="77777777" w:rsidR="00D470F4" w:rsidRDefault="00584C38">
      <w:pPr>
        <w:rPr>
          <w:i/>
          <w:sz w:val="20"/>
        </w:rPr>
      </w:pPr>
      <w:r w:rsidRPr="00E74BC8">
        <w:rPr>
          <w:i/>
          <w:sz w:val="20"/>
        </w:rPr>
        <w:t xml:space="preserve">Note: The following abbreviations are used in the table: GDP = Gross Domestic Product, GP = General practitioner, IC = Integrated care, NCD = </w:t>
      </w:r>
      <w:proofErr w:type="gramStart"/>
      <w:r w:rsidRPr="00E74BC8">
        <w:rPr>
          <w:i/>
          <w:sz w:val="20"/>
        </w:rPr>
        <w:t>Non-communicable</w:t>
      </w:r>
      <w:proofErr w:type="gramEnd"/>
      <w:r w:rsidRPr="00E74BC8">
        <w:rPr>
          <w:i/>
          <w:sz w:val="20"/>
        </w:rPr>
        <w:t xml:space="preserve"> disease, </w:t>
      </w:r>
      <w:r>
        <w:rPr>
          <w:i/>
          <w:sz w:val="20"/>
        </w:rPr>
        <w:t xml:space="preserve">n.d. = no data, </w:t>
      </w:r>
      <w:r w:rsidRPr="00E74BC8">
        <w:rPr>
          <w:i/>
          <w:sz w:val="20"/>
        </w:rPr>
        <w:t xml:space="preserve">NGO = Non-governmental organisation, </w:t>
      </w:r>
      <w:r>
        <w:rPr>
          <w:i/>
          <w:sz w:val="20"/>
        </w:rPr>
        <w:t xml:space="preserve">OD = Operational District, </w:t>
      </w:r>
      <w:r w:rsidRPr="00E74BC8">
        <w:rPr>
          <w:i/>
          <w:sz w:val="20"/>
        </w:rPr>
        <w:t>RH = Referral hospital</w:t>
      </w:r>
      <w:r>
        <w:rPr>
          <w:i/>
          <w:sz w:val="20"/>
        </w:rPr>
        <w:t>, USD = United States Dollar</w:t>
      </w:r>
    </w:p>
    <w:p w14:paraId="5339EF13" w14:textId="77777777" w:rsidR="00F10FFB" w:rsidRDefault="00F10FFB">
      <w:pPr>
        <w:rPr>
          <w:i/>
          <w:sz w:val="20"/>
        </w:rPr>
      </w:pPr>
    </w:p>
    <w:p w14:paraId="4C3C626F" w14:textId="77777777" w:rsidR="00F10FFB" w:rsidRDefault="00F10FFB">
      <w:pPr>
        <w:rPr>
          <w:b/>
          <w:sz w:val="20"/>
        </w:rPr>
      </w:pPr>
      <w:r>
        <w:rPr>
          <w:b/>
          <w:sz w:val="20"/>
        </w:rPr>
        <w:br w:type="page"/>
      </w:r>
    </w:p>
    <w:p w14:paraId="7095904E" w14:textId="27824922" w:rsidR="00F10FFB" w:rsidRPr="0050325B" w:rsidRDefault="00F10FFB">
      <w:pPr>
        <w:rPr>
          <w:b/>
        </w:rPr>
      </w:pPr>
      <w:r w:rsidRPr="0050325B">
        <w:rPr>
          <w:b/>
        </w:rPr>
        <w:lastRenderedPageBreak/>
        <w:t>References</w:t>
      </w:r>
    </w:p>
    <w:p w14:paraId="15C1E8C8" w14:textId="77777777" w:rsidR="00F10FFB" w:rsidRPr="00F10FFB" w:rsidRDefault="00F10FFB">
      <w:pPr>
        <w:rPr>
          <w:sz w:val="20"/>
        </w:rPr>
      </w:pPr>
    </w:p>
    <w:p w14:paraId="3DB3BD0E" w14:textId="77777777" w:rsidR="00621D9C" w:rsidRPr="00621D9C" w:rsidRDefault="00F10FFB" w:rsidP="00621D9C">
      <w:pPr>
        <w:spacing w:after="0" w:line="240" w:lineRule="auto"/>
        <w:rPr>
          <w:rFonts w:cs="Times New Roman"/>
          <w:noProof/>
        </w:rPr>
      </w:pPr>
      <w:r w:rsidRPr="00F10FFB">
        <w:rPr>
          <w:sz w:val="20"/>
        </w:rPr>
        <w:fldChar w:fldCharType="begin"/>
      </w:r>
      <w:r w:rsidRPr="00F10FFB">
        <w:rPr>
          <w:sz w:val="20"/>
        </w:rPr>
        <w:instrText xml:space="preserve"> ADDIN EN.REFLIST </w:instrText>
      </w:r>
      <w:r w:rsidRPr="00F10FFB">
        <w:rPr>
          <w:sz w:val="20"/>
        </w:rPr>
        <w:fldChar w:fldCharType="separate"/>
      </w:r>
      <w:bookmarkStart w:id="0" w:name="_ENREF_1"/>
      <w:r w:rsidR="00621D9C" w:rsidRPr="00621D9C">
        <w:rPr>
          <w:rFonts w:cs="Times New Roman"/>
          <w:noProof/>
        </w:rPr>
        <w:t>1.</w:t>
      </w:r>
      <w:r w:rsidR="00621D9C" w:rsidRPr="00621D9C">
        <w:rPr>
          <w:rFonts w:cs="Times New Roman"/>
          <w:noProof/>
        </w:rPr>
        <w:tab/>
        <w:t>European Observatory on Health Systems and Policies. Slovenia: health system review 2021. 2021 [1 April 2023]; Available from: https://eurohealthobservatory.who.int/publications/i/slovenia-health-system-review-2021.</w:t>
      </w:r>
      <w:bookmarkEnd w:id="0"/>
    </w:p>
    <w:p w14:paraId="281FA060" w14:textId="77777777" w:rsidR="00621D9C" w:rsidRPr="00621D9C" w:rsidRDefault="00621D9C" w:rsidP="00621D9C">
      <w:pPr>
        <w:spacing w:after="0" w:line="240" w:lineRule="auto"/>
        <w:rPr>
          <w:rFonts w:cs="Times New Roman"/>
          <w:noProof/>
        </w:rPr>
      </w:pPr>
      <w:bookmarkStart w:id="1" w:name="_ENREF_2"/>
      <w:r w:rsidRPr="00621D9C">
        <w:rPr>
          <w:rFonts w:cs="Times New Roman"/>
          <w:noProof/>
        </w:rPr>
        <w:t>2.</w:t>
      </w:r>
      <w:r w:rsidRPr="00621D9C">
        <w:rPr>
          <w:rFonts w:cs="Times New Roman"/>
          <w:noProof/>
        </w:rPr>
        <w:tab/>
        <w:t>European Observatory on Health Systems and Policies. Belgium: health system summary. 2021 [1 April 2023]; Available from: https://eurohealthobservatory.who.int/publications/i/belgium-health-system-summary.</w:t>
      </w:r>
      <w:bookmarkEnd w:id="1"/>
    </w:p>
    <w:p w14:paraId="0F79819C" w14:textId="77777777" w:rsidR="00621D9C" w:rsidRPr="00621D9C" w:rsidRDefault="00621D9C" w:rsidP="00621D9C">
      <w:pPr>
        <w:spacing w:after="0" w:line="240" w:lineRule="auto"/>
        <w:rPr>
          <w:rFonts w:cs="Times New Roman"/>
          <w:noProof/>
        </w:rPr>
      </w:pPr>
      <w:bookmarkStart w:id="2" w:name="_ENREF_3"/>
      <w:r w:rsidRPr="00621D9C">
        <w:rPr>
          <w:rFonts w:cs="Times New Roman"/>
          <w:noProof/>
        </w:rPr>
        <w:t>3.</w:t>
      </w:r>
      <w:r w:rsidRPr="00621D9C">
        <w:rPr>
          <w:rFonts w:cs="Times New Roman"/>
          <w:noProof/>
        </w:rPr>
        <w:tab/>
        <w:t>World Bank. GDP per capita (current US$) | Data. World Bank Open Data; 2022 [1 April 2023]; Available from: https://data.worldbank.org/indicator/NY.GDP.PCAP.CD.</w:t>
      </w:r>
      <w:bookmarkEnd w:id="2"/>
    </w:p>
    <w:p w14:paraId="6D80DCB0" w14:textId="77777777" w:rsidR="00621D9C" w:rsidRPr="00621D9C" w:rsidRDefault="00621D9C" w:rsidP="00621D9C">
      <w:pPr>
        <w:spacing w:after="0" w:line="240" w:lineRule="auto"/>
        <w:rPr>
          <w:rFonts w:cs="Times New Roman"/>
          <w:noProof/>
        </w:rPr>
      </w:pPr>
      <w:bookmarkStart w:id="3" w:name="_ENREF_4"/>
      <w:r w:rsidRPr="00621D9C">
        <w:rPr>
          <w:rFonts w:cs="Times New Roman"/>
          <w:noProof/>
        </w:rPr>
        <w:t>4.</w:t>
      </w:r>
      <w:r w:rsidRPr="00621D9C">
        <w:rPr>
          <w:rFonts w:cs="Times New Roman"/>
          <w:noProof/>
        </w:rPr>
        <w:tab/>
        <w:t>World Bank. GDP growth (annual %) | Data. World Bank Open Data; 2022 [1 April 2023]; Available from: https://data.worldbank.org/indicator/NY.GDP.MKTP.KD.ZG.</w:t>
      </w:r>
      <w:bookmarkEnd w:id="3"/>
    </w:p>
    <w:p w14:paraId="26FD302E" w14:textId="7A5FF507" w:rsidR="00621D9C" w:rsidRPr="00621D9C" w:rsidRDefault="00621D9C" w:rsidP="00621D9C">
      <w:pPr>
        <w:spacing w:after="0" w:line="240" w:lineRule="auto"/>
        <w:rPr>
          <w:rFonts w:cs="Times New Roman"/>
          <w:noProof/>
        </w:rPr>
      </w:pPr>
      <w:bookmarkStart w:id="4" w:name="_ENREF_5"/>
      <w:r w:rsidRPr="00621D9C">
        <w:rPr>
          <w:rFonts w:cs="Times New Roman"/>
          <w:noProof/>
        </w:rPr>
        <w:t>5.</w:t>
      </w:r>
      <w:r w:rsidRPr="00621D9C">
        <w:rPr>
          <w:rFonts w:cs="Times New Roman"/>
          <w:noProof/>
        </w:rPr>
        <w:tab/>
        <w:t>World Economics. Cambodia’s Gini Year. 2021 [1 April 2023]; Available from: https://</w:t>
      </w:r>
      <w:hyperlink r:id="rId7" w:history="1">
        <w:r w:rsidRPr="00621D9C">
          <w:rPr>
            <w:rStyle w:val="Hyperlink"/>
            <w:rFonts w:cs="Times New Roman"/>
            <w:noProof/>
          </w:rPr>
          <w:t>www.worldeconomics.com/Inequality/Gini-Year/Cambodia.aspx</w:t>
        </w:r>
      </w:hyperlink>
      <w:r w:rsidRPr="00621D9C">
        <w:rPr>
          <w:rFonts w:cs="Times New Roman"/>
          <w:noProof/>
        </w:rPr>
        <w:t>.</w:t>
      </w:r>
      <w:bookmarkEnd w:id="4"/>
    </w:p>
    <w:p w14:paraId="54BE08C2" w14:textId="77777777" w:rsidR="00621D9C" w:rsidRPr="00621D9C" w:rsidRDefault="00621D9C" w:rsidP="00621D9C">
      <w:pPr>
        <w:spacing w:after="0" w:line="240" w:lineRule="auto"/>
        <w:rPr>
          <w:rFonts w:cs="Times New Roman"/>
          <w:noProof/>
        </w:rPr>
      </w:pPr>
      <w:bookmarkStart w:id="5" w:name="_ENREF_6"/>
      <w:r w:rsidRPr="00621D9C">
        <w:rPr>
          <w:rFonts w:cs="Times New Roman"/>
          <w:noProof/>
        </w:rPr>
        <w:t>6.</w:t>
      </w:r>
      <w:r w:rsidRPr="00621D9C">
        <w:rPr>
          <w:rFonts w:cs="Times New Roman"/>
          <w:noProof/>
        </w:rPr>
        <w:tab/>
        <w:t>World Bank. Gini index | Data. World Bank Open Data; 2022 [1 April 2023]; Available from: https://data.worldbank.org/indicator/SI.POV.GINI?name_desc=false.</w:t>
      </w:r>
      <w:bookmarkEnd w:id="5"/>
    </w:p>
    <w:p w14:paraId="7F7AD8F7" w14:textId="77777777" w:rsidR="00621D9C" w:rsidRPr="00621D9C" w:rsidRDefault="00621D9C" w:rsidP="00621D9C">
      <w:pPr>
        <w:spacing w:after="0" w:line="240" w:lineRule="auto"/>
        <w:rPr>
          <w:rFonts w:cs="Times New Roman"/>
          <w:noProof/>
        </w:rPr>
      </w:pPr>
      <w:bookmarkStart w:id="6" w:name="_ENREF_7"/>
      <w:r w:rsidRPr="00621D9C">
        <w:rPr>
          <w:rFonts w:cs="Times New Roman"/>
          <w:noProof/>
        </w:rPr>
        <w:t>7.</w:t>
      </w:r>
      <w:r w:rsidRPr="00621D9C">
        <w:rPr>
          <w:rFonts w:cs="Times New Roman"/>
          <w:noProof/>
        </w:rPr>
        <w:tab/>
        <w:t>World Bank. Poverty headcount ratio at national poverty lines (% of population) | Data. World Bank Open Data; 2022 [1 April 2023]; Available from: https://data.worldbank.org/indicator/SI.POV.NAHC?name_desc=false.</w:t>
      </w:r>
      <w:bookmarkEnd w:id="6"/>
    </w:p>
    <w:p w14:paraId="1A3A42E7" w14:textId="77777777" w:rsidR="00621D9C" w:rsidRPr="00621D9C" w:rsidRDefault="00621D9C" w:rsidP="00621D9C">
      <w:pPr>
        <w:spacing w:after="0" w:line="240" w:lineRule="auto"/>
        <w:rPr>
          <w:rFonts w:cs="Times New Roman"/>
          <w:noProof/>
        </w:rPr>
      </w:pPr>
      <w:bookmarkStart w:id="7" w:name="_ENREF_8"/>
      <w:r w:rsidRPr="00621D9C">
        <w:rPr>
          <w:rFonts w:cs="Times New Roman"/>
          <w:noProof/>
        </w:rPr>
        <w:t>8.</w:t>
      </w:r>
      <w:r w:rsidRPr="00621D9C">
        <w:rPr>
          <w:rFonts w:cs="Times New Roman"/>
          <w:noProof/>
        </w:rPr>
        <w:tab/>
        <w:t>Ministry of Health - Cambodia. National standard operating procedure for diabetes and hypertension management in primary care 2019. Phnom Penh: MoH; 2019 [1 April 2023]; Available from: https://niph.org.kh/niph/uploads/library/pdf/GL240_PEN-SOP_DM_and_HBP_1_APR_2019-EN.pdf.</w:t>
      </w:r>
      <w:bookmarkEnd w:id="7"/>
    </w:p>
    <w:p w14:paraId="6E22F30D" w14:textId="6B21AFB2" w:rsidR="00621D9C" w:rsidRPr="00621D9C" w:rsidRDefault="00621D9C" w:rsidP="00621D9C">
      <w:pPr>
        <w:spacing w:after="0" w:line="240" w:lineRule="auto"/>
        <w:rPr>
          <w:rFonts w:cs="Times New Roman"/>
          <w:noProof/>
        </w:rPr>
      </w:pPr>
      <w:bookmarkStart w:id="8" w:name="_ENREF_9"/>
      <w:r w:rsidRPr="00621D9C">
        <w:rPr>
          <w:rFonts w:cs="Times New Roman"/>
          <w:noProof/>
        </w:rPr>
        <w:t>9.</w:t>
      </w:r>
      <w:r w:rsidRPr="00621D9C">
        <w:rPr>
          <w:rFonts w:cs="Times New Roman"/>
          <w:noProof/>
        </w:rPr>
        <w:tab/>
        <w:t xml:space="preserve">Ministry of Health - Department of Planning and Health Information - Cambodia. Annual Health Sector Progress Report 2018 and Way Forwards for 2019. 2019 [25 April 2023]; Available from: </w:t>
      </w:r>
      <w:hyperlink r:id="rId8" w:history="1">
        <w:r w:rsidRPr="00621D9C">
          <w:rPr>
            <w:rStyle w:val="Hyperlink"/>
            <w:rFonts w:cs="Times New Roman"/>
            <w:noProof/>
          </w:rPr>
          <w:t>http://moh.gov.kh/content/uploads/2017/05/2019_MoH-Final01-Low.pdf</w:t>
        </w:r>
      </w:hyperlink>
      <w:r w:rsidRPr="00621D9C">
        <w:rPr>
          <w:rFonts w:cs="Times New Roman"/>
          <w:noProof/>
        </w:rPr>
        <w:t>.</w:t>
      </w:r>
      <w:bookmarkEnd w:id="8"/>
    </w:p>
    <w:p w14:paraId="3AA1736F" w14:textId="77777777" w:rsidR="00621D9C" w:rsidRPr="00621D9C" w:rsidRDefault="00621D9C" w:rsidP="00621D9C">
      <w:pPr>
        <w:spacing w:after="0" w:line="240" w:lineRule="auto"/>
        <w:rPr>
          <w:rFonts w:cs="Times New Roman"/>
          <w:noProof/>
        </w:rPr>
      </w:pPr>
      <w:bookmarkStart w:id="9" w:name="_ENREF_10"/>
      <w:r w:rsidRPr="00621D9C">
        <w:rPr>
          <w:rFonts w:cs="Times New Roman"/>
          <w:noProof/>
        </w:rPr>
        <w:t>10.</w:t>
      </w:r>
      <w:r w:rsidRPr="00621D9C">
        <w:rPr>
          <w:rFonts w:cs="Times New Roman"/>
          <w:noProof/>
        </w:rPr>
        <w:tab/>
        <w:t>European Observatory on Health Systems and Policies. Slovenia: health system summary. 2021 [1 April 2023]; Available from: https://eurohealthobservatory.who.int/publications/i/slovenia-health-system-summary.</w:t>
      </w:r>
      <w:bookmarkEnd w:id="9"/>
    </w:p>
    <w:p w14:paraId="21C51EAF" w14:textId="77777777" w:rsidR="00621D9C" w:rsidRPr="00621D9C" w:rsidRDefault="00621D9C" w:rsidP="00621D9C">
      <w:pPr>
        <w:spacing w:after="0" w:line="240" w:lineRule="auto"/>
        <w:rPr>
          <w:rFonts w:cs="Times New Roman"/>
          <w:noProof/>
        </w:rPr>
      </w:pPr>
      <w:bookmarkStart w:id="10" w:name="_ENREF_11"/>
      <w:r w:rsidRPr="00621D9C">
        <w:rPr>
          <w:rFonts w:cs="Times New Roman"/>
          <w:noProof/>
        </w:rPr>
        <w:t>11.</w:t>
      </w:r>
      <w:r w:rsidRPr="00621D9C">
        <w:rPr>
          <w:rFonts w:cs="Times New Roman"/>
          <w:noProof/>
        </w:rPr>
        <w:tab/>
        <w:t>Detollenaere J, Christiaens W, Dossche D, Camberlin C, Lefèvre M, Devriese S. Barriers and facilitators for eHealth adoption by general practitioners in Belgium. Health Services Research (HSR) - KCE Reports 337. Brussels. : Belgian Health Care Knowledge Centre (KCE); 2020 [1 April 2023]; Available from: https://kce.fgov.be/en/publications/an-eq-5d-5l-value-set-for-belgium-how-to-value-health-related-quality-of-life/barriers-and-facilitators-for-ehealth-adoption-by-general-practitioners-in-belgium.</w:t>
      </w:r>
      <w:bookmarkEnd w:id="10"/>
    </w:p>
    <w:p w14:paraId="0ED70606" w14:textId="77777777" w:rsidR="00621D9C" w:rsidRPr="00621D9C" w:rsidRDefault="00621D9C" w:rsidP="00621D9C">
      <w:pPr>
        <w:spacing w:after="0" w:line="240" w:lineRule="auto"/>
        <w:rPr>
          <w:rFonts w:cs="Times New Roman"/>
          <w:noProof/>
        </w:rPr>
      </w:pPr>
      <w:bookmarkStart w:id="11" w:name="_ENREF_12"/>
      <w:r w:rsidRPr="00621D9C">
        <w:rPr>
          <w:rFonts w:cs="Times New Roman"/>
          <w:noProof/>
        </w:rPr>
        <w:t>12.</w:t>
      </w:r>
      <w:r w:rsidRPr="00621D9C">
        <w:rPr>
          <w:rFonts w:cs="Times New Roman"/>
          <w:noProof/>
        </w:rPr>
        <w:tab/>
        <w:t>World Bank. Current health expenditure per capita, PPP (current international $) | Data. World Bank Open Data; 2022 [1 April 2023]; Available from: https://data.worldbank.org/indicator/SH.XPD.CHEX.PP.CD.</w:t>
      </w:r>
      <w:bookmarkEnd w:id="11"/>
    </w:p>
    <w:p w14:paraId="1F7CF15A" w14:textId="77777777" w:rsidR="00621D9C" w:rsidRPr="00621D9C" w:rsidRDefault="00621D9C" w:rsidP="00621D9C">
      <w:pPr>
        <w:spacing w:after="0" w:line="240" w:lineRule="auto"/>
        <w:rPr>
          <w:rFonts w:cs="Times New Roman"/>
          <w:noProof/>
        </w:rPr>
      </w:pPr>
      <w:bookmarkStart w:id="12" w:name="_ENREF_13"/>
      <w:r w:rsidRPr="00621D9C">
        <w:rPr>
          <w:rFonts w:cs="Times New Roman"/>
          <w:noProof/>
        </w:rPr>
        <w:t>13.</w:t>
      </w:r>
      <w:r w:rsidRPr="00621D9C">
        <w:rPr>
          <w:rFonts w:cs="Times New Roman"/>
          <w:noProof/>
        </w:rPr>
        <w:tab/>
        <w:t>World Bank. Current health expenditure (% of GDP) | Data. World Bank Open Data; 2022 [cited 1 April 2023]; Available from: https://data.worldbank.org/indicator/SH.XPD.CHEX.GD.ZS.</w:t>
      </w:r>
      <w:bookmarkEnd w:id="12"/>
    </w:p>
    <w:p w14:paraId="1894AB30" w14:textId="77777777" w:rsidR="00621D9C" w:rsidRPr="00621D9C" w:rsidRDefault="00621D9C" w:rsidP="00621D9C">
      <w:pPr>
        <w:spacing w:after="0" w:line="240" w:lineRule="auto"/>
        <w:rPr>
          <w:rFonts w:cs="Times New Roman"/>
          <w:noProof/>
        </w:rPr>
      </w:pPr>
      <w:bookmarkStart w:id="13" w:name="_ENREF_14"/>
      <w:r w:rsidRPr="00621D9C">
        <w:rPr>
          <w:rFonts w:cs="Times New Roman"/>
          <w:noProof/>
        </w:rPr>
        <w:t>14.</w:t>
      </w:r>
      <w:r w:rsidRPr="00621D9C">
        <w:rPr>
          <w:rFonts w:cs="Times New Roman"/>
          <w:noProof/>
        </w:rPr>
        <w:tab/>
        <w:t>World Bank. Physicians (per 1,000 people) | Data. World Bank Open Data; 2022 [cited 1 April 2023]; Available from: https://data.worldbank.org/indicator/SH.MED.PHYS.ZS.</w:t>
      </w:r>
      <w:bookmarkEnd w:id="13"/>
    </w:p>
    <w:p w14:paraId="0CD8900A" w14:textId="77777777" w:rsidR="00621D9C" w:rsidRPr="00621D9C" w:rsidRDefault="00621D9C" w:rsidP="00621D9C">
      <w:pPr>
        <w:spacing w:after="0" w:line="240" w:lineRule="auto"/>
        <w:rPr>
          <w:rFonts w:cs="Times New Roman"/>
          <w:noProof/>
        </w:rPr>
      </w:pPr>
      <w:bookmarkStart w:id="14" w:name="_ENREF_15"/>
      <w:r w:rsidRPr="00621D9C">
        <w:rPr>
          <w:rFonts w:cs="Times New Roman"/>
          <w:noProof/>
        </w:rPr>
        <w:t>15.</w:t>
      </w:r>
      <w:r w:rsidRPr="00621D9C">
        <w:rPr>
          <w:rFonts w:cs="Times New Roman"/>
          <w:noProof/>
        </w:rPr>
        <w:tab/>
        <w:t>OECD. Health Care Resources : Physicians by categories. OECD.Stat.; 2023 [1 April 2023]; Available from: https://stats.oecd.org/Index.aspx?QueryId=30173.</w:t>
      </w:r>
      <w:bookmarkEnd w:id="14"/>
    </w:p>
    <w:p w14:paraId="3E718B8E" w14:textId="77777777" w:rsidR="00621D9C" w:rsidRPr="00621D9C" w:rsidRDefault="00621D9C" w:rsidP="00621D9C">
      <w:pPr>
        <w:spacing w:after="0" w:line="240" w:lineRule="auto"/>
        <w:rPr>
          <w:rFonts w:cs="Times New Roman"/>
          <w:noProof/>
        </w:rPr>
      </w:pPr>
      <w:bookmarkStart w:id="15" w:name="_ENREF_16"/>
      <w:r w:rsidRPr="00621D9C">
        <w:rPr>
          <w:rFonts w:cs="Times New Roman"/>
          <w:noProof/>
        </w:rPr>
        <w:lastRenderedPageBreak/>
        <w:t>16.</w:t>
      </w:r>
      <w:r w:rsidRPr="00621D9C">
        <w:rPr>
          <w:rFonts w:cs="Times New Roman"/>
          <w:noProof/>
        </w:rPr>
        <w:tab/>
        <w:t>World Bank. Nurses and midwives (per 1,000 people) | Data. World Bank Open Data; 2022 [cited 1 April 2023]; Available from: https://data.worldbank.org/indicator/SH.MED.NUMW.P3.</w:t>
      </w:r>
      <w:bookmarkEnd w:id="15"/>
    </w:p>
    <w:p w14:paraId="55FBA0BB" w14:textId="6648F45C" w:rsidR="00621D9C" w:rsidRPr="00621D9C" w:rsidRDefault="00621D9C" w:rsidP="00621D9C">
      <w:pPr>
        <w:spacing w:after="0" w:line="240" w:lineRule="auto"/>
        <w:rPr>
          <w:rFonts w:cs="Times New Roman"/>
          <w:noProof/>
        </w:rPr>
      </w:pPr>
      <w:bookmarkStart w:id="16" w:name="_ENREF_17"/>
      <w:r w:rsidRPr="00621D9C">
        <w:rPr>
          <w:rFonts w:cs="Times New Roman"/>
          <w:noProof/>
        </w:rPr>
        <w:t>17.</w:t>
      </w:r>
      <w:r w:rsidRPr="00621D9C">
        <w:rPr>
          <w:rFonts w:cs="Times New Roman"/>
          <w:noProof/>
        </w:rPr>
        <w:tab/>
        <w:t>World Health Organization. Noncommunicable Diseases Progress Monitor 2022. Geneva: World Health Organization; 2022 [1 April 2023]; Available from: https://</w:t>
      </w:r>
      <w:hyperlink r:id="rId9" w:history="1">
        <w:r w:rsidRPr="00621D9C">
          <w:rPr>
            <w:rStyle w:val="Hyperlink"/>
            <w:rFonts w:cs="Times New Roman"/>
            <w:noProof/>
          </w:rPr>
          <w:t>www.who.int/publications/i/item/9789240047761</w:t>
        </w:r>
      </w:hyperlink>
      <w:r w:rsidRPr="00621D9C">
        <w:rPr>
          <w:rFonts w:cs="Times New Roman"/>
          <w:noProof/>
        </w:rPr>
        <w:t>.</w:t>
      </w:r>
      <w:bookmarkEnd w:id="16"/>
    </w:p>
    <w:p w14:paraId="53803AB2" w14:textId="77777777" w:rsidR="00621D9C" w:rsidRPr="00621D9C" w:rsidRDefault="00621D9C" w:rsidP="00621D9C">
      <w:pPr>
        <w:spacing w:after="0" w:line="240" w:lineRule="auto"/>
        <w:rPr>
          <w:rFonts w:cs="Times New Roman"/>
          <w:noProof/>
        </w:rPr>
      </w:pPr>
      <w:bookmarkStart w:id="17" w:name="_ENREF_18"/>
      <w:r w:rsidRPr="00621D9C">
        <w:rPr>
          <w:rFonts w:cs="Times New Roman"/>
          <w:noProof/>
        </w:rPr>
        <w:t>18.</w:t>
      </w:r>
      <w:r w:rsidRPr="00621D9C">
        <w:rPr>
          <w:rFonts w:cs="Times New Roman"/>
          <w:noProof/>
        </w:rPr>
        <w:tab/>
        <w:t>World Bank. Population ages 65 and above (% of total population) | Data. World Bank Open Data; 2022 [cited 1 April 2023]; Available from: https://data.worldbank.org/indicator/SP.POP.65UP.TO.ZS.</w:t>
      </w:r>
      <w:bookmarkEnd w:id="17"/>
    </w:p>
    <w:p w14:paraId="59913F7F" w14:textId="77777777" w:rsidR="00621D9C" w:rsidRPr="00621D9C" w:rsidRDefault="00621D9C" w:rsidP="00621D9C">
      <w:pPr>
        <w:spacing w:line="240" w:lineRule="auto"/>
        <w:rPr>
          <w:rFonts w:cs="Times New Roman"/>
          <w:noProof/>
        </w:rPr>
      </w:pPr>
      <w:bookmarkStart w:id="18" w:name="_ENREF_19"/>
      <w:r w:rsidRPr="00621D9C">
        <w:rPr>
          <w:rFonts w:cs="Times New Roman"/>
          <w:noProof/>
        </w:rPr>
        <w:t>19.</w:t>
      </w:r>
      <w:r w:rsidRPr="00621D9C">
        <w:rPr>
          <w:rFonts w:cs="Times New Roman"/>
          <w:noProof/>
        </w:rPr>
        <w:tab/>
        <w:t>World Bank. Life expectancy at birth, total (years) | Data. World Bank Open Data; 2022 [cited 1 April 2023]; Available from: https://data.worldbank.org/indicator/SP.DYN.LE00.IN?name_desc=false.</w:t>
      </w:r>
      <w:bookmarkEnd w:id="18"/>
    </w:p>
    <w:p w14:paraId="5505EA35" w14:textId="7958AA7C" w:rsidR="00621D9C" w:rsidRDefault="00621D9C" w:rsidP="00621D9C">
      <w:pPr>
        <w:spacing w:line="240" w:lineRule="auto"/>
        <w:rPr>
          <w:rFonts w:cs="Times New Roman"/>
          <w:noProof/>
        </w:rPr>
      </w:pPr>
    </w:p>
    <w:p w14:paraId="2ED2F9BC" w14:textId="0EFE8375" w:rsidR="00F10FFB" w:rsidRPr="00F10FFB" w:rsidRDefault="00F10FFB">
      <w:pPr>
        <w:rPr>
          <w:sz w:val="20"/>
        </w:rPr>
      </w:pPr>
      <w:r w:rsidRPr="00F10FFB">
        <w:rPr>
          <w:sz w:val="20"/>
        </w:rPr>
        <w:fldChar w:fldCharType="end"/>
      </w:r>
    </w:p>
    <w:sectPr w:rsidR="00F10FFB" w:rsidRPr="00F10FF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F7991" w14:textId="77777777" w:rsidR="00A72E8B" w:rsidRDefault="00A72E8B" w:rsidP="00FD049F">
      <w:pPr>
        <w:spacing w:after="0" w:line="240" w:lineRule="auto"/>
      </w:pPr>
      <w:r>
        <w:separator/>
      </w:r>
    </w:p>
  </w:endnote>
  <w:endnote w:type="continuationSeparator" w:id="0">
    <w:p w14:paraId="59416D1C" w14:textId="77777777" w:rsidR="00A72E8B" w:rsidRDefault="00A72E8B" w:rsidP="00FD0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5A824" w14:textId="77777777" w:rsidR="00A72E8B" w:rsidRDefault="00A72E8B" w:rsidP="00FD049F">
      <w:pPr>
        <w:spacing w:after="0" w:line="240" w:lineRule="auto"/>
      </w:pPr>
      <w:r>
        <w:separator/>
      </w:r>
    </w:p>
  </w:footnote>
  <w:footnote w:type="continuationSeparator" w:id="0">
    <w:p w14:paraId="77685F30" w14:textId="77777777" w:rsidR="00A72E8B" w:rsidRDefault="00A72E8B" w:rsidP="00FD04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03E57"/>
    <w:multiLevelType w:val="hybridMultilevel"/>
    <w:tmpl w:val="EEC6B462"/>
    <w:lvl w:ilvl="0" w:tplc="57DE45EE">
      <w:start w:val="1"/>
      <w:numFmt w:val="bullet"/>
      <w:lvlText w:val=""/>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78F21FC9"/>
    <w:multiLevelType w:val="hybridMultilevel"/>
    <w:tmpl w:val="F4A6483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689571210">
    <w:abstractNumId w:val="0"/>
  </w:num>
  <w:num w:numId="2" w16cid:durableId="440800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Vancouver PLOS DOI&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tax9522bvxwaoet2d3vfdzgvs5zee0022ap&quot;&gt;Monika barriers to scaling up IC&lt;record-ids&gt;&lt;item&gt;1&lt;/item&gt;&lt;item&gt;45&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128&lt;/item&gt;&lt;/record-ids&gt;&lt;/item&gt;&lt;/Libraries&gt;"/>
  </w:docVars>
  <w:rsids>
    <w:rsidRoot w:val="00584C38"/>
    <w:rsid w:val="00064C56"/>
    <w:rsid w:val="003A4121"/>
    <w:rsid w:val="0050325B"/>
    <w:rsid w:val="00584C38"/>
    <w:rsid w:val="00621D9C"/>
    <w:rsid w:val="0072397C"/>
    <w:rsid w:val="00A72E8B"/>
    <w:rsid w:val="00D470F4"/>
    <w:rsid w:val="00F10FFB"/>
    <w:rsid w:val="00FD049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E8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C38"/>
    <w:rPr>
      <w:lang w:val="en-GB"/>
    </w:rPr>
  </w:style>
  <w:style w:type="paragraph" w:styleId="Heading2">
    <w:name w:val="heading 2"/>
    <w:basedOn w:val="Normal"/>
    <w:next w:val="Normal"/>
    <w:link w:val="Heading2Char"/>
    <w:uiPriority w:val="9"/>
    <w:unhideWhenUsed/>
    <w:qFormat/>
    <w:rsid w:val="00584C38"/>
    <w:pPr>
      <w:keepNext/>
      <w:keepLines/>
      <w:spacing w:before="160" w:after="120"/>
      <w:outlineLvl w:val="1"/>
    </w:pPr>
    <w:rPr>
      <w:rFonts w:eastAsiaTheme="majorEastAsia" w:cstheme="majorBidi"/>
      <w:b/>
      <w:color w:val="2F5496" w:themeColor="accent1" w:themeShade="BF"/>
      <w:sz w:val="26"/>
      <w:szCs w:val="26"/>
    </w:rPr>
  </w:style>
  <w:style w:type="paragraph" w:styleId="Heading4">
    <w:name w:val="heading 4"/>
    <w:basedOn w:val="Normal"/>
    <w:next w:val="Normal"/>
    <w:link w:val="Heading4Char"/>
    <w:uiPriority w:val="9"/>
    <w:semiHidden/>
    <w:unhideWhenUsed/>
    <w:qFormat/>
    <w:rsid w:val="00584C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4C38"/>
    <w:pPr>
      <w:ind w:left="720"/>
      <w:contextualSpacing/>
    </w:pPr>
  </w:style>
  <w:style w:type="paragraph" w:customStyle="1" w:styleId="Heading4-fortables-figures">
    <w:name w:val="Heading 4-for tables-figures"/>
    <w:basedOn w:val="Heading4"/>
    <w:link w:val="Heading4-fortables-figuresChar"/>
    <w:qFormat/>
    <w:rsid w:val="00584C38"/>
    <w:rPr>
      <w:rFonts w:ascii="Times New Roman" w:hAnsi="Times New Roman"/>
      <w:sz w:val="20"/>
    </w:rPr>
  </w:style>
  <w:style w:type="table" w:styleId="TableGrid">
    <w:name w:val="Table Grid"/>
    <w:basedOn w:val="TableNormal"/>
    <w:uiPriority w:val="39"/>
    <w:rsid w:val="0058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fortables-figuresChar">
    <w:name w:val="Heading 4-for tables-figures Char"/>
    <w:basedOn w:val="DefaultParagraphFont"/>
    <w:link w:val="Heading4-fortables-figures"/>
    <w:rsid w:val="00584C38"/>
    <w:rPr>
      <w:rFonts w:eastAsiaTheme="majorEastAsia" w:cstheme="majorBidi"/>
      <w:i/>
      <w:iCs/>
      <w:color w:val="2F5496" w:themeColor="accent1" w:themeShade="BF"/>
      <w:sz w:val="20"/>
      <w:lang w:val="en-GB"/>
    </w:rPr>
  </w:style>
  <w:style w:type="character" w:customStyle="1" w:styleId="Heading4Char">
    <w:name w:val="Heading 4 Char"/>
    <w:basedOn w:val="DefaultParagraphFont"/>
    <w:link w:val="Heading4"/>
    <w:uiPriority w:val="9"/>
    <w:semiHidden/>
    <w:rsid w:val="00584C38"/>
    <w:rPr>
      <w:rFonts w:asciiTheme="majorHAnsi" w:eastAsiaTheme="majorEastAsia" w:hAnsiTheme="majorHAnsi" w:cstheme="majorBidi"/>
      <w:i/>
      <w:iCs/>
      <w:color w:val="2F5496" w:themeColor="accent1" w:themeShade="BF"/>
      <w:lang w:val="en-GB"/>
    </w:rPr>
  </w:style>
  <w:style w:type="character" w:customStyle="1" w:styleId="Heading2Char">
    <w:name w:val="Heading 2 Char"/>
    <w:basedOn w:val="DefaultParagraphFont"/>
    <w:link w:val="Heading2"/>
    <w:uiPriority w:val="9"/>
    <w:rsid w:val="00584C38"/>
    <w:rPr>
      <w:rFonts w:eastAsiaTheme="majorEastAsia" w:cstheme="majorBidi"/>
      <w:b/>
      <w:color w:val="2F5496" w:themeColor="accent1" w:themeShade="BF"/>
      <w:sz w:val="26"/>
      <w:szCs w:val="26"/>
      <w:lang w:val="en-GB"/>
    </w:rPr>
  </w:style>
  <w:style w:type="character" w:styleId="CommentReference">
    <w:name w:val="annotation reference"/>
    <w:basedOn w:val="DefaultParagraphFont"/>
    <w:uiPriority w:val="99"/>
    <w:semiHidden/>
    <w:unhideWhenUsed/>
    <w:rsid w:val="00584C38"/>
    <w:rPr>
      <w:sz w:val="16"/>
      <w:szCs w:val="16"/>
    </w:rPr>
  </w:style>
  <w:style w:type="paragraph" w:styleId="CommentText">
    <w:name w:val="annotation text"/>
    <w:basedOn w:val="Normal"/>
    <w:link w:val="CommentTextChar"/>
    <w:uiPriority w:val="99"/>
    <w:semiHidden/>
    <w:unhideWhenUsed/>
    <w:rsid w:val="00584C38"/>
    <w:pPr>
      <w:spacing w:line="240" w:lineRule="auto"/>
    </w:pPr>
    <w:rPr>
      <w:sz w:val="20"/>
      <w:szCs w:val="20"/>
    </w:rPr>
  </w:style>
  <w:style w:type="character" w:customStyle="1" w:styleId="CommentTextChar">
    <w:name w:val="Comment Text Char"/>
    <w:basedOn w:val="DefaultParagraphFont"/>
    <w:link w:val="CommentText"/>
    <w:uiPriority w:val="99"/>
    <w:semiHidden/>
    <w:rsid w:val="00584C38"/>
    <w:rPr>
      <w:sz w:val="20"/>
      <w:szCs w:val="20"/>
      <w:lang w:val="en-GB"/>
    </w:rPr>
  </w:style>
  <w:style w:type="paragraph" w:styleId="CommentSubject">
    <w:name w:val="annotation subject"/>
    <w:basedOn w:val="CommentText"/>
    <w:next w:val="CommentText"/>
    <w:link w:val="CommentSubjectChar"/>
    <w:uiPriority w:val="99"/>
    <w:semiHidden/>
    <w:unhideWhenUsed/>
    <w:rsid w:val="00584C38"/>
    <w:rPr>
      <w:b/>
      <w:bCs/>
    </w:rPr>
  </w:style>
  <w:style w:type="character" w:customStyle="1" w:styleId="CommentSubjectChar">
    <w:name w:val="Comment Subject Char"/>
    <w:basedOn w:val="CommentTextChar"/>
    <w:link w:val="CommentSubject"/>
    <w:uiPriority w:val="99"/>
    <w:semiHidden/>
    <w:rsid w:val="00584C38"/>
    <w:rPr>
      <w:b/>
      <w:bCs/>
      <w:sz w:val="20"/>
      <w:szCs w:val="20"/>
      <w:lang w:val="en-GB"/>
    </w:rPr>
  </w:style>
  <w:style w:type="paragraph" w:styleId="BalloonText">
    <w:name w:val="Balloon Text"/>
    <w:basedOn w:val="Normal"/>
    <w:link w:val="BalloonTextChar"/>
    <w:uiPriority w:val="99"/>
    <w:semiHidden/>
    <w:unhideWhenUsed/>
    <w:rsid w:val="00F10F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FB"/>
    <w:rPr>
      <w:rFonts w:ascii="Tahoma" w:hAnsi="Tahoma" w:cs="Tahoma"/>
      <w:sz w:val="16"/>
      <w:szCs w:val="16"/>
      <w:lang w:val="en-GB"/>
    </w:rPr>
  </w:style>
  <w:style w:type="character" w:styleId="Hyperlink">
    <w:name w:val="Hyperlink"/>
    <w:basedOn w:val="DefaultParagraphFont"/>
    <w:uiPriority w:val="99"/>
    <w:unhideWhenUsed/>
    <w:rsid w:val="00F10FFB"/>
    <w:rPr>
      <w:color w:val="0563C1" w:themeColor="hyperlink"/>
      <w:u w:val="single"/>
    </w:rPr>
  </w:style>
  <w:style w:type="paragraph" w:styleId="Revision">
    <w:name w:val="Revision"/>
    <w:hidden/>
    <w:uiPriority w:val="99"/>
    <w:semiHidden/>
    <w:rsid w:val="0050325B"/>
    <w:pPr>
      <w:spacing w:after="0" w:line="240" w:lineRule="auto"/>
    </w:pPr>
    <w:rPr>
      <w:lang w:val="en-GB"/>
    </w:rPr>
  </w:style>
  <w:style w:type="paragraph" w:styleId="Header">
    <w:name w:val="header"/>
    <w:basedOn w:val="Normal"/>
    <w:link w:val="HeaderChar"/>
    <w:uiPriority w:val="99"/>
    <w:unhideWhenUsed/>
    <w:rsid w:val="00FD04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049F"/>
    <w:rPr>
      <w:lang w:val="en-GB"/>
    </w:rPr>
  </w:style>
  <w:style w:type="paragraph" w:styleId="Footer">
    <w:name w:val="footer"/>
    <w:basedOn w:val="Normal"/>
    <w:link w:val="FooterChar"/>
    <w:uiPriority w:val="99"/>
    <w:unhideWhenUsed/>
    <w:rsid w:val="00FD04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49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h.gov.kh/content/uploads/2017/05/2019_MoH-Final01-Low.pdf" TargetMode="External"/><Relationship Id="rId3" Type="http://schemas.openxmlformats.org/officeDocument/2006/relationships/settings" Target="settings.xml"/><Relationship Id="rId7" Type="http://schemas.openxmlformats.org/officeDocument/2006/relationships/hyperlink" Target="http://www.worldeconomics.com/Inequality/Gini-Year/Cambodia.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ho.int/publications/i/item/97892400477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5065</Words>
  <Characters>28872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2023-07-14T09:32:00Z</dcterms:created>
  <dcterms:modified xsi:type="dcterms:W3CDTF">2023-07-14T09:33:00Z</dcterms:modified>
</cp:coreProperties>
</file>