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B56C6" w14:textId="1AFCDE6B" w:rsidR="00514D82" w:rsidRPr="003C6CE9" w:rsidRDefault="00514D82" w:rsidP="00EC0637">
      <w:pPr>
        <w:pStyle w:val="Heading2"/>
      </w:pPr>
      <w:bookmarkStart w:id="0" w:name="_Hlk110511070"/>
      <w:r w:rsidRPr="003C6CE9">
        <w:t xml:space="preserve">Appendix </w:t>
      </w:r>
      <w:r w:rsidR="00515C0E">
        <w:t>8</w:t>
      </w:r>
      <w:r w:rsidRPr="003C6CE9">
        <w:t xml:space="preserve">. Preliminary deductive analysis resulting in ICCC plus </w:t>
      </w:r>
      <w:proofErr w:type="gramStart"/>
      <w:r w:rsidRPr="003C6CE9">
        <w:t>framework</w:t>
      </w:r>
      <w:proofErr w:type="gramEnd"/>
    </w:p>
    <w:p w14:paraId="4E5B56C7" w14:textId="77777777" w:rsidR="00514D82" w:rsidRPr="003C6CE9" w:rsidRDefault="00514D82" w:rsidP="00EC0637"/>
    <w:p w14:paraId="4E5B56C8" w14:textId="77777777" w:rsidR="00514D82" w:rsidRPr="003C6CE9" w:rsidRDefault="00514D82" w:rsidP="00EC0637">
      <w:r w:rsidRPr="003C6CE9">
        <w:rPr>
          <w:noProof/>
          <w:lang w:val="en-IN" w:eastAsia="en-IN"/>
        </w:rPr>
        <w:drawing>
          <wp:inline distT="0" distB="0" distL="0" distR="0" wp14:anchorId="4E5B56D5" wp14:editId="4E5B56D6">
            <wp:extent cx="5731510" cy="3118485"/>
            <wp:effectExtent l="0" t="0" r="0" b="5715"/>
            <wp:docPr id="19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ACB33AF2-16B5-4A32-ABE3-F908211CEC2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>
                      <a:extLst>
                        <a:ext uri="{FF2B5EF4-FFF2-40B4-BE49-F238E27FC236}">
                          <a16:creationId xmlns:a16="http://schemas.microsoft.com/office/drawing/2014/main" id="{ACB33AF2-16B5-4A32-ABE3-F908211CEC2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20832" r="20835" b="27002"/>
                    <a:stretch/>
                  </pic:blipFill>
                  <pic:spPr>
                    <a:xfrm>
                      <a:off x="0" y="0"/>
                      <a:ext cx="5731510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4E5B56C9" w14:textId="77777777" w:rsidR="00514D82" w:rsidRDefault="00514D82" w:rsidP="000B7535">
      <w:pPr>
        <w:pStyle w:val="CommentText"/>
        <w:spacing w:line="276" w:lineRule="auto"/>
      </w:pPr>
      <w:r>
        <w:t xml:space="preserve">Note/legend: </w:t>
      </w:r>
      <w:r w:rsidRPr="000B7535">
        <w:t xml:space="preserve">An initial attempt to develop a common codebook was to build on the WHO’s ICCC framework </w:t>
      </w:r>
      <w:r>
        <w:rPr>
          <w:noProof/>
        </w:rPr>
        <w:t>[1-5]</w:t>
      </w:r>
      <w:r w:rsidRPr="000B7535">
        <w:t>.</w:t>
      </w:r>
      <w:r>
        <w:t xml:space="preserve"> </w:t>
      </w:r>
      <w:r w:rsidRPr="000B7535">
        <w:t xml:space="preserve">A preliminary deductive analysis was conducted by the first author (MM), resulting in an adapted ICCC, named the ICCC plus, which incorporated the WHO’s health system building blocks </w:t>
      </w:r>
      <w:r>
        <w:rPr>
          <w:noProof/>
        </w:rPr>
        <w:t>[6]</w:t>
      </w:r>
      <w:r w:rsidRPr="000B7535">
        <w:t xml:space="preserve"> and wider contextual factors beyond the health system (</w:t>
      </w:r>
      <w:proofErr w:type="gramStart"/>
      <w:r w:rsidRPr="000B7535">
        <w:t>e.g.</w:t>
      </w:r>
      <w:proofErr w:type="gramEnd"/>
      <w:r w:rsidRPr="000B7535">
        <w:t xml:space="preserve"> PESTEL: political, economic, socio-cultural, technological, environmental and legal).</w:t>
      </w:r>
    </w:p>
    <w:p w14:paraId="4E5B56CA" w14:textId="77777777" w:rsidR="00514D82" w:rsidRDefault="00514D82">
      <w:pPr>
        <w:pStyle w:val="CommentText"/>
        <w:spacing w:line="276" w:lineRule="auto"/>
      </w:pPr>
    </w:p>
    <w:p w14:paraId="4E5B56CB" w14:textId="77777777" w:rsidR="00514D82" w:rsidRPr="001E2463" w:rsidRDefault="00514D82">
      <w:pPr>
        <w:pStyle w:val="CommentText"/>
        <w:spacing w:line="276" w:lineRule="auto"/>
        <w:rPr>
          <w:b/>
        </w:rPr>
      </w:pPr>
      <w:r w:rsidRPr="001E2463">
        <w:rPr>
          <w:b/>
        </w:rPr>
        <w:t>References</w:t>
      </w:r>
    </w:p>
    <w:p w14:paraId="4E5B56CC" w14:textId="77777777" w:rsidR="00514D82" w:rsidRPr="005E138C" w:rsidRDefault="00514D82" w:rsidP="005E138C">
      <w:pPr>
        <w:pStyle w:val="CommentText"/>
        <w:spacing w:after="0"/>
        <w:rPr>
          <w:rFonts w:cs="Times New Roman"/>
          <w:noProof/>
        </w:rPr>
      </w:pPr>
      <w:bookmarkStart w:id="1" w:name="_ENREF_1"/>
      <w:r w:rsidRPr="005E138C">
        <w:rPr>
          <w:rFonts w:cs="Times New Roman"/>
          <w:noProof/>
        </w:rPr>
        <w:t>1.</w:t>
      </w:r>
      <w:r w:rsidRPr="005E138C">
        <w:rPr>
          <w:rFonts w:cs="Times New Roman"/>
          <w:noProof/>
        </w:rPr>
        <w:tab/>
        <w:t>Gilson L, Alliance for Health PS, Research - World Health Organization,. Health policy and systems research: a methodology reader / edited by Lucy Gilson. Geneva: World Health Organization; 2012 [1 April 2023]; Available from: https://apps.who.int/iris/handle/10665/44803.</w:t>
      </w:r>
      <w:bookmarkEnd w:id="1"/>
    </w:p>
    <w:p w14:paraId="4E5B56CD" w14:textId="77777777" w:rsidR="00514D82" w:rsidRPr="005E138C" w:rsidRDefault="00514D82" w:rsidP="005E138C">
      <w:pPr>
        <w:pStyle w:val="CommentText"/>
        <w:spacing w:after="0"/>
        <w:rPr>
          <w:rFonts w:cs="Times New Roman"/>
          <w:noProof/>
        </w:rPr>
      </w:pPr>
      <w:bookmarkStart w:id="2" w:name="_ENREF_2"/>
      <w:r w:rsidRPr="005E138C">
        <w:rPr>
          <w:rFonts w:cs="Times New Roman"/>
          <w:noProof/>
        </w:rPr>
        <w:t>2.</w:t>
      </w:r>
      <w:r w:rsidRPr="005E138C">
        <w:rPr>
          <w:rFonts w:cs="Times New Roman"/>
          <w:noProof/>
        </w:rPr>
        <w:tab/>
        <w:t>World Health Organization - Health Services Delivery Programme; Division of Health Systems and Public Health. Integrated care models: an overview. Geneva: World Health Organization; 2016 [1 April 2023]; Available from: https://</w:t>
      </w:r>
      <w:r w:rsidRPr="00514D82">
        <w:rPr>
          <w:rFonts w:cs="Times New Roman"/>
          <w:noProof/>
        </w:rPr>
        <w:t>www.euro.who.int/__data/assets/pdf_file/0005/322475/Integrated-care-models-overview.pdf</w:t>
      </w:r>
      <w:r w:rsidRPr="005E138C">
        <w:rPr>
          <w:rFonts w:cs="Times New Roman"/>
          <w:noProof/>
        </w:rPr>
        <w:t>.</w:t>
      </w:r>
      <w:bookmarkEnd w:id="2"/>
    </w:p>
    <w:p w14:paraId="4E5B56CE" w14:textId="77777777" w:rsidR="00514D82" w:rsidRPr="005E138C" w:rsidRDefault="00514D82" w:rsidP="005E138C">
      <w:pPr>
        <w:pStyle w:val="CommentText"/>
        <w:spacing w:after="0"/>
        <w:rPr>
          <w:rFonts w:cs="Times New Roman"/>
          <w:noProof/>
        </w:rPr>
      </w:pPr>
      <w:bookmarkStart w:id="3" w:name="_ENREF_3"/>
      <w:r w:rsidRPr="005E138C">
        <w:rPr>
          <w:rFonts w:cs="Times New Roman"/>
          <w:noProof/>
        </w:rPr>
        <w:t>3.</w:t>
      </w:r>
      <w:r w:rsidRPr="005E138C">
        <w:rPr>
          <w:rFonts w:cs="Times New Roman"/>
          <w:noProof/>
        </w:rPr>
        <w:tab/>
        <w:t>World Health Organization - Noncommunicable Diseases and Mental Health Cluster. Innovative care for chronic conditions : building blocks for actions : global report. Geneva: World Health Organization; 2002 [1 April 2023]; Available from: https://apps.who.int/iris/handle/10665/42500.</w:t>
      </w:r>
      <w:bookmarkEnd w:id="3"/>
    </w:p>
    <w:p w14:paraId="4E5B56CF" w14:textId="77777777" w:rsidR="00514D82" w:rsidRPr="005E138C" w:rsidRDefault="00514D82" w:rsidP="005E138C">
      <w:pPr>
        <w:pStyle w:val="CommentText"/>
        <w:spacing w:after="0"/>
        <w:rPr>
          <w:rFonts w:cs="Times New Roman"/>
          <w:noProof/>
        </w:rPr>
      </w:pPr>
      <w:bookmarkStart w:id="4" w:name="_ENREF_4"/>
      <w:r w:rsidRPr="00D71344">
        <w:rPr>
          <w:rFonts w:cs="Times New Roman"/>
          <w:noProof/>
          <w:lang w:val="nl-BE"/>
        </w:rPr>
        <w:t>4.</w:t>
      </w:r>
      <w:r w:rsidRPr="00D71344">
        <w:rPr>
          <w:rFonts w:cs="Times New Roman"/>
          <w:noProof/>
          <w:lang w:val="nl-BE"/>
        </w:rPr>
        <w:tab/>
        <w:t xml:space="preserve">Epping-Jordan JE, Pruitt SD, Bengoa R, Wagner EH. </w:t>
      </w:r>
      <w:r w:rsidRPr="005E138C">
        <w:rPr>
          <w:rFonts w:cs="Times New Roman"/>
          <w:noProof/>
        </w:rPr>
        <w:t>Improving the quality of health care for chronic conditions. Qual Saf Health Care. 2004;13(4):299-305. Epub 2004/08/04. DOI: 10.1136/qhc.13.4.299</w:t>
      </w:r>
      <w:bookmarkEnd w:id="4"/>
    </w:p>
    <w:p w14:paraId="4E5B56D0" w14:textId="77777777" w:rsidR="00514D82" w:rsidRPr="005E138C" w:rsidRDefault="00514D82" w:rsidP="005E138C">
      <w:pPr>
        <w:pStyle w:val="CommentText"/>
        <w:spacing w:after="0"/>
        <w:rPr>
          <w:rFonts w:cs="Times New Roman"/>
          <w:noProof/>
        </w:rPr>
      </w:pPr>
      <w:bookmarkStart w:id="5" w:name="_ENREF_5"/>
      <w:r w:rsidRPr="005E138C">
        <w:rPr>
          <w:rFonts w:cs="Times New Roman"/>
          <w:noProof/>
        </w:rPr>
        <w:t>5.</w:t>
      </w:r>
      <w:r w:rsidRPr="005E138C">
        <w:rPr>
          <w:rFonts w:cs="Times New Roman"/>
          <w:noProof/>
        </w:rPr>
        <w:tab/>
        <w:t>Nuno R, Coleman K, Bengoa R, Sauto R. Integrated care for chronic conditions: the contribution of the ICCC Framework. Health Policy. 2012;105(1):55-64. Epub 2011/11/11. DOI: 10.1016/j.healthpol.2011.10.006</w:t>
      </w:r>
      <w:bookmarkEnd w:id="5"/>
    </w:p>
    <w:p w14:paraId="4E5B56D1" w14:textId="77777777" w:rsidR="00514D82" w:rsidRPr="005E138C" w:rsidRDefault="00514D82" w:rsidP="005E138C">
      <w:pPr>
        <w:pStyle w:val="CommentText"/>
        <w:rPr>
          <w:rFonts w:cs="Times New Roman"/>
          <w:noProof/>
        </w:rPr>
      </w:pPr>
      <w:bookmarkStart w:id="6" w:name="_ENREF_6"/>
      <w:r w:rsidRPr="005E138C">
        <w:rPr>
          <w:rFonts w:cs="Times New Roman"/>
          <w:noProof/>
        </w:rPr>
        <w:t>6.</w:t>
      </w:r>
      <w:r w:rsidRPr="005E138C">
        <w:rPr>
          <w:rFonts w:cs="Times New Roman"/>
          <w:noProof/>
        </w:rPr>
        <w:tab/>
        <w:t>World Health Organization. Monitoring the building blocks of health systems: a handbook of indicators and their measurement strategies. Geneva: World Health Organization; 2010 [1 April 2023]; Available from: https://apps.who.int/iris/handle/10665/258734.</w:t>
      </w:r>
      <w:bookmarkEnd w:id="6"/>
    </w:p>
    <w:p w14:paraId="4E5B56D2" w14:textId="77777777" w:rsidR="00514D82" w:rsidRDefault="00514D82" w:rsidP="005E138C">
      <w:pPr>
        <w:pStyle w:val="CommentText"/>
        <w:rPr>
          <w:rFonts w:cs="Times New Roman"/>
          <w:noProof/>
        </w:rPr>
      </w:pPr>
    </w:p>
    <w:p w14:paraId="4E5B56D3" w14:textId="77777777" w:rsidR="00514D82" w:rsidRPr="001E2463" w:rsidRDefault="00514D82" w:rsidP="001E2463">
      <w:pPr>
        <w:spacing w:after="0" w:line="276" w:lineRule="auto"/>
        <w:rPr>
          <w:rFonts w:eastAsiaTheme="majorEastAsia" w:cstheme="majorBidi"/>
          <w:b/>
          <w:color w:val="365F91" w:themeColor="accent1" w:themeShade="BF"/>
          <w:sz w:val="26"/>
          <w:szCs w:val="26"/>
        </w:rPr>
      </w:pPr>
    </w:p>
    <w:p w14:paraId="4E5B56D4" w14:textId="77777777" w:rsidR="00EC6107" w:rsidRDefault="00EC6107"/>
    <w:sectPr w:rsidR="00EC61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5904"/>
    <w:multiLevelType w:val="multilevel"/>
    <w:tmpl w:val="8F7E43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ED6C28"/>
    <w:multiLevelType w:val="multilevel"/>
    <w:tmpl w:val="F1A271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5DC4997"/>
    <w:multiLevelType w:val="hybridMultilevel"/>
    <w:tmpl w:val="DB586D2E"/>
    <w:lvl w:ilvl="0" w:tplc="EDB25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47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027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8EE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E23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2C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0EE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DA9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80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75B039D"/>
    <w:multiLevelType w:val="multilevel"/>
    <w:tmpl w:val="9A6477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B564558"/>
    <w:multiLevelType w:val="multilevel"/>
    <w:tmpl w:val="E9F01D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533214"/>
    <w:multiLevelType w:val="multilevel"/>
    <w:tmpl w:val="B2C60C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9D7E32"/>
    <w:multiLevelType w:val="hybridMultilevel"/>
    <w:tmpl w:val="40789BC6"/>
    <w:lvl w:ilvl="0" w:tplc="E034D8B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507B4"/>
    <w:multiLevelType w:val="multilevel"/>
    <w:tmpl w:val="5644D9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2CE1657"/>
    <w:multiLevelType w:val="multilevel"/>
    <w:tmpl w:val="5C2216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37F0EF1"/>
    <w:multiLevelType w:val="multilevel"/>
    <w:tmpl w:val="B7C817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6805BA2"/>
    <w:multiLevelType w:val="multilevel"/>
    <w:tmpl w:val="4254DD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C01135D"/>
    <w:multiLevelType w:val="multilevel"/>
    <w:tmpl w:val="3A6006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CCB5FA1"/>
    <w:multiLevelType w:val="multilevel"/>
    <w:tmpl w:val="ECCC17D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62853"/>
    <w:multiLevelType w:val="multilevel"/>
    <w:tmpl w:val="6518A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76E662C"/>
    <w:multiLevelType w:val="multilevel"/>
    <w:tmpl w:val="F66AE2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8935642"/>
    <w:multiLevelType w:val="hybridMultilevel"/>
    <w:tmpl w:val="9AB8237C"/>
    <w:lvl w:ilvl="0" w:tplc="D0D62C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0CA544">
      <w:numFmt w:val="bullet"/>
      <w:lvlText w:val="–"/>
      <w:lvlJc w:val="left"/>
      <w:pPr>
        <w:ind w:left="1790" w:hanging="710"/>
      </w:pPr>
      <w:rPr>
        <w:rFonts w:ascii="Times New Roman" w:eastAsiaTheme="minorHAnsi" w:hAnsi="Times New Roman" w:cs="Times New Roman" w:hint="default"/>
      </w:rPr>
    </w:lvl>
    <w:lvl w:ilvl="2" w:tplc="6194C4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C94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1606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22A0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038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F284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4DBE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A7BAD"/>
    <w:multiLevelType w:val="multilevel"/>
    <w:tmpl w:val="C25CB9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36C7603"/>
    <w:multiLevelType w:val="multilevel"/>
    <w:tmpl w:val="3AF41A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76B3964"/>
    <w:multiLevelType w:val="multilevel"/>
    <w:tmpl w:val="064005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CE2136"/>
    <w:multiLevelType w:val="multilevel"/>
    <w:tmpl w:val="B922E9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5BC019E"/>
    <w:multiLevelType w:val="multilevel"/>
    <w:tmpl w:val="8D9C26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ADF118F"/>
    <w:multiLevelType w:val="multilevel"/>
    <w:tmpl w:val="83F6D2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D300089"/>
    <w:multiLevelType w:val="multilevel"/>
    <w:tmpl w:val="763A04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D4B0603"/>
    <w:multiLevelType w:val="multilevel"/>
    <w:tmpl w:val="A90CD0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E2B1630"/>
    <w:multiLevelType w:val="hybridMultilevel"/>
    <w:tmpl w:val="CFF8E454"/>
    <w:lvl w:ilvl="0" w:tplc="D0D62C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F26A80"/>
    <w:multiLevelType w:val="multilevel"/>
    <w:tmpl w:val="216220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6480674">
    <w:abstractNumId w:val="15"/>
  </w:num>
  <w:num w:numId="2" w16cid:durableId="1545218138">
    <w:abstractNumId w:val="2"/>
  </w:num>
  <w:num w:numId="3" w16cid:durableId="1146822229">
    <w:abstractNumId w:val="24"/>
  </w:num>
  <w:num w:numId="4" w16cid:durableId="1147742364">
    <w:abstractNumId w:val="9"/>
  </w:num>
  <w:num w:numId="5" w16cid:durableId="1146161503">
    <w:abstractNumId w:val="22"/>
  </w:num>
  <w:num w:numId="6" w16cid:durableId="1495561253">
    <w:abstractNumId w:val="20"/>
  </w:num>
  <w:num w:numId="7" w16cid:durableId="1430269195">
    <w:abstractNumId w:val="12"/>
  </w:num>
  <w:num w:numId="8" w16cid:durableId="345905548">
    <w:abstractNumId w:val="7"/>
  </w:num>
  <w:num w:numId="9" w16cid:durableId="1060400703">
    <w:abstractNumId w:val="19"/>
  </w:num>
  <w:num w:numId="10" w16cid:durableId="1140659827">
    <w:abstractNumId w:val="13"/>
  </w:num>
  <w:num w:numId="11" w16cid:durableId="189883966">
    <w:abstractNumId w:val="4"/>
  </w:num>
  <w:num w:numId="12" w16cid:durableId="740326754">
    <w:abstractNumId w:val="14"/>
  </w:num>
  <w:num w:numId="13" w16cid:durableId="1516843192">
    <w:abstractNumId w:val="0"/>
  </w:num>
  <w:num w:numId="14" w16cid:durableId="1358894016">
    <w:abstractNumId w:val="1"/>
  </w:num>
  <w:num w:numId="15" w16cid:durableId="1042481845">
    <w:abstractNumId w:val="5"/>
  </w:num>
  <w:num w:numId="16" w16cid:durableId="70664502">
    <w:abstractNumId w:val="21"/>
  </w:num>
  <w:num w:numId="17" w16cid:durableId="1133986406">
    <w:abstractNumId w:val="10"/>
  </w:num>
  <w:num w:numId="18" w16cid:durableId="933781314">
    <w:abstractNumId w:val="3"/>
  </w:num>
  <w:num w:numId="19" w16cid:durableId="1370834328">
    <w:abstractNumId w:val="25"/>
  </w:num>
  <w:num w:numId="20" w16cid:durableId="1313487291">
    <w:abstractNumId w:val="16"/>
  </w:num>
  <w:num w:numId="21" w16cid:durableId="445780273">
    <w:abstractNumId w:val="18"/>
  </w:num>
  <w:num w:numId="22" w16cid:durableId="1339193790">
    <w:abstractNumId w:val="17"/>
  </w:num>
  <w:num w:numId="23" w16cid:durableId="626472355">
    <w:abstractNumId w:val="11"/>
  </w:num>
  <w:num w:numId="24" w16cid:durableId="579103310">
    <w:abstractNumId w:val="23"/>
  </w:num>
  <w:num w:numId="25" w16cid:durableId="1186941127">
    <w:abstractNumId w:val="8"/>
  </w:num>
  <w:num w:numId="26" w16cid:durableId="8960887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514D82"/>
    <w:rsid w:val="00042581"/>
    <w:rsid w:val="00171CE7"/>
    <w:rsid w:val="001A20A5"/>
    <w:rsid w:val="001C2A9D"/>
    <w:rsid w:val="002F7CC9"/>
    <w:rsid w:val="00514D82"/>
    <w:rsid w:val="00515C0E"/>
    <w:rsid w:val="007157D7"/>
    <w:rsid w:val="00840D35"/>
    <w:rsid w:val="009535DC"/>
    <w:rsid w:val="00BB4378"/>
    <w:rsid w:val="00C416C7"/>
    <w:rsid w:val="00CD118F"/>
    <w:rsid w:val="00D71344"/>
    <w:rsid w:val="00EC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B5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D82"/>
    <w:pPr>
      <w:spacing w:after="160" w:line="259" w:lineRule="auto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4D82"/>
    <w:pPr>
      <w:keepNext/>
      <w:keepLines/>
      <w:spacing w:before="36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4D82"/>
    <w:pPr>
      <w:keepNext/>
      <w:keepLines/>
      <w:spacing w:before="160" w:after="120"/>
      <w:outlineLvl w:val="1"/>
    </w:pPr>
    <w:rPr>
      <w:rFonts w:eastAsiaTheme="majorEastAsia" w:cstheme="majorBidi"/>
      <w:b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4D82"/>
    <w:rPr>
      <w:rFonts w:ascii="Times New Roman" w:eastAsiaTheme="majorEastAsia" w:hAnsi="Times New Roman" w:cstheme="majorBidi"/>
      <w:b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14D82"/>
    <w:rPr>
      <w:rFonts w:ascii="Times New Roman" w:eastAsiaTheme="majorEastAsia" w:hAnsi="Times New Roman" w:cstheme="majorBidi"/>
      <w:b/>
      <w:color w:val="365F91" w:themeColor="accent1" w:themeShade="BF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514D82"/>
    <w:pPr>
      <w:ind w:left="720"/>
      <w:contextualSpacing/>
    </w:pPr>
  </w:style>
  <w:style w:type="table" w:styleId="TableGrid">
    <w:name w:val="Table Grid"/>
    <w:basedOn w:val="TableNormal"/>
    <w:uiPriority w:val="39"/>
    <w:rsid w:val="00514D82"/>
    <w:pPr>
      <w:spacing w:line="240" w:lineRule="auto"/>
    </w:pPr>
    <w:rPr>
      <w:rFonts w:ascii="Times New Roman" w:hAnsi="Times New Roman"/>
      <w:sz w:val="24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14D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4D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4D82"/>
    <w:rPr>
      <w:rFonts w:ascii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D82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514D8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4D82"/>
    <w:pPr>
      <w:spacing w:line="240" w:lineRule="auto"/>
    </w:pPr>
    <w:rPr>
      <w:rFonts w:ascii="Times New Roman" w:hAnsi="Times New Roman"/>
      <w:sz w:val="24"/>
      <w:lang w:val="en-GB"/>
    </w:rPr>
  </w:style>
  <w:style w:type="character" w:customStyle="1" w:styleId="UnresolvedMention1">
    <w:name w:val="Unresolved Mention1"/>
    <w:basedOn w:val="DefaultParagraphFont"/>
    <w:uiPriority w:val="99"/>
    <w:unhideWhenUsed/>
    <w:rsid w:val="00514D8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D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D82"/>
    <w:rPr>
      <w:rFonts w:ascii="Times New Roman" w:hAnsi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D1A92565AC284CAECDA0EBB89A4E35" ma:contentTypeVersion="14" ma:contentTypeDescription="Create a new document." ma:contentTypeScope="" ma:versionID="48a3b89d3f562600183dd01262ff7d2b">
  <xsd:schema xmlns:xsd="http://www.w3.org/2001/XMLSchema" xmlns:xs="http://www.w3.org/2001/XMLSchema" xmlns:p="http://schemas.microsoft.com/office/2006/metadata/properties" xmlns:ns3="869d5105-6494-4ef4-9fac-8101ddf9fc8a" xmlns:ns4="5e73fe6c-a3fb-4f0e-acb4-6ffe00cfaadc" targetNamespace="http://schemas.microsoft.com/office/2006/metadata/properties" ma:root="true" ma:fieldsID="0bd9e9b296290d904791f54dd516ef42" ns3:_="" ns4:_="">
    <xsd:import namespace="869d5105-6494-4ef4-9fac-8101ddf9fc8a"/>
    <xsd:import namespace="5e73fe6c-a3fb-4f0e-acb4-6ffe00cfaa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d5105-6494-4ef4-9fac-8101ddf9fc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3fe6c-a3fb-4f0e-acb4-6ffe00cfaa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69d5105-6494-4ef4-9fac-8101ddf9fc8a" xsi:nil="true"/>
  </documentManagement>
</p:properties>
</file>

<file path=customXml/itemProps1.xml><?xml version="1.0" encoding="utf-8"?>
<ds:datastoreItem xmlns:ds="http://schemas.openxmlformats.org/officeDocument/2006/customXml" ds:itemID="{B8C6B074-0A8A-4A72-BFAE-9CE41523E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d5105-6494-4ef4-9fac-8101ddf9fc8a"/>
    <ds:schemaRef ds:uri="5e73fe6c-a3fb-4f0e-acb4-6ffe00cfa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7DDB66-D5DF-4857-86DA-B807DAAF40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4F5CC-A121-4486-BE3C-C795D1A49F67}">
  <ds:schemaRefs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5e73fe6c-a3fb-4f0e-acb4-6ffe00cfaadc"/>
    <ds:schemaRef ds:uri="http://schemas.microsoft.com/office/2006/documentManagement/types"/>
    <ds:schemaRef ds:uri="http://purl.org/dc/terms/"/>
    <ds:schemaRef ds:uri="http://schemas.microsoft.com/office/infopath/2007/PartnerControls"/>
    <ds:schemaRef ds:uri="869d5105-6494-4ef4-9fac-8101ddf9fc8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2023-07-14T09:24:00Z</dcterms:created>
  <dcterms:modified xsi:type="dcterms:W3CDTF">2023-07-14T09:24:00Z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0x01010009D1A92565AC284CAECDA0EBB89A4E35</vt:lpwstr>
  </property>
</Properties>
</file>