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EB11E" w14:textId="4A914B60" w:rsidR="00D73F0F" w:rsidRPr="003C6CE9" w:rsidRDefault="00D73F0F" w:rsidP="002850FE">
      <w:pPr>
        <w:pStyle w:val="Heading2"/>
      </w:pPr>
      <w:bookmarkStart w:id="0" w:name="_Hlk110511070"/>
      <w:r w:rsidRPr="003C6CE9">
        <w:t xml:space="preserve">Appendix </w:t>
      </w:r>
      <w:r w:rsidR="000A52C1">
        <w:t>7</w:t>
      </w:r>
      <w:r w:rsidRPr="003C6CE9">
        <w:t>. Terms of reference: agreed definitions of used concepts in analysis</w:t>
      </w:r>
    </w:p>
    <w:tbl>
      <w:tblPr>
        <w:tblStyle w:val="TableGrid"/>
        <w:tblW w:w="0" w:type="auto"/>
        <w:tblLook w:val="04A0" w:firstRow="1" w:lastRow="0" w:firstColumn="1" w:lastColumn="0" w:noHBand="0" w:noVBand="1"/>
      </w:tblPr>
      <w:tblGrid>
        <w:gridCol w:w="4453"/>
        <w:gridCol w:w="4563"/>
      </w:tblGrid>
      <w:tr w:rsidR="00D73F0F" w:rsidRPr="003C6CE9" w14:paraId="675EB121" w14:textId="77777777" w:rsidTr="00A47C20">
        <w:trPr>
          <w:trHeight w:val="53"/>
        </w:trPr>
        <w:tc>
          <w:tcPr>
            <w:tcW w:w="4453" w:type="dxa"/>
          </w:tcPr>
          <w:p w14:paraId="675EB11F" w14:textId="77777777" w:rsidR="00D73F0F" w:rsidRPr="003C6CE9" w:rsidRDefault="00D73F0F" w:rsidP="00A47C20">
            <w:pPr>
              <w:rPr>
                <w:b/>
                <w:bCs/>
                <w:szCs w:val="24"/>
              </w:rPr>
            </w:pPr>
            <w:r w:rsidRPr="003C6CE9">
              <w:rPr>
                <w:b/>
                <w:bCs/>
                <w:szCs w:val="24"/>
              </w:rPr>
              <w:t>Concept</w:t>
            </w:r>
          </w:p>
        </w:tc>
        <w:tc>
          <w:tcPr>
            <w:tcW w:w="4563" w:type="dxa"/>
          </w:tcPr>
          <w:p w14:paraId="675EB120" w14:textId="77777777" w:rsidR="00D73F0F" w:rsidRPr="003C6CE9" w:rsidRDefault="00D73F0F" w:rsidP="00A47C20">
            <w:pPr>
              <w:rPr>
                <w:b/>
                <w:bCs/>
                <w:szCs w:val="24"/>
              </w:rPr>
            </w:pPr>
            <w:r w:rsidRPr="003C6CE9">
              <w:rPr>
                <w:b/>
                <w:bCs/>
                <w:szCs w:val="24"/>
              </w:rPr>
              <w:t>Definition used in SCUBY and by the analysis team</w:t>
            </w:r>
          </w:p>
        </w:tc>
      </w:tr>
      <w:tr w:rsidR="00D73F0F" w:rsidRPr="003C6CE9" w14:paraId="675EB124" w14:textId="77777777" w:rsidTr="00A47C20">
        <w:tc>
          <w:tcPr>
            <w:tcW w:w="4453" w:type="dxa"/>
          </w:tcPr>
          <w:p w14:paraId="675EB122" w14:textId="77777777" w:rsidR="00D73F0F" w:rsidRPr="003C6CE9" w:rsidRDefault="00D73F0F" w:rsidP="00A47C20">
            <w:pPr>
              <w:rPr>
                <w:sz w:val="20"/>
                <w:szCs w:val="20"/>
              </w:rPr>
            </w:pPr>
            <w:r w:rsidRPr="003C6CE9">
              <w:rPr>
                <w:sz w:val="20"/>
                <w:szCs w:val="20"/>
              </w:rPr>
              <w:t xml:space="preserve">Health system </w:t>
            </w:r>
          </w:p>
        </w:tc>
        <w:tc>
          <w:tcPr>
            <w:tcW w:w="4563" w:type="dxa"/>
          </w:tcPr>
          <w:p w14:paraId="675EB123" w14:textId="77777777" w:rsidR="00D73F0F" w:rsidRPr="003C6CE9" w:rsidRDefault="00D73F0F" w:rsidP="001800A5">
            <w:pPr>
              <w:rPr>
                <w:sz w:val="20"/>
                <w:szCs w:val="20"/>
              </w:rPr>
            </w:pPr>
            <w:r w:rsidRPr="003C6CE9">
              <w:rPr>
                <w:sz w:val="20"/>
                <w:szCs w:val="20"/>
              </w:rPr>
              <w:t xml:space="preserve">A health system consists of all the organizations, institutions, </w:t>
            </w:r>
            <w:proofErr w:type="gramStart"/>
            <w:r w:rsidRPr="003C6CE9">
              <w:rPr>
                <w:sz w:val="20"/>
                <w:szCs w:val="20"/>
              </w:rPr>
              <w:t>resources</w:t>
            </w:r>
            <w:proofErr w:type="gramEnd"/>
            <w:r w:rsidRPr="003C6CE9">
              <w:rPr>
                <w:sz w:val="20"/>
                <w:szCs w:val="20"/>
              </w:rPr>
              <w:t xml:space="preserve"> and people whose primary purpose is to improve health. </w:t>
            </w:r>
            <w:r>
              <w:rPr>
                <w:noProof/>
                <w:sz w:val="20"/>
                <w:szCs w:val="20"/>
              </w:rPr>
              <w:t>[1]</w:t>
            </w:r>
            <w:r w:rsidRPr="003C6CE9" w:rsidDel="004A08C3">
              <w:rPr>
                <w:sz w:val="20"/>
                <w:szCs w:val="20"/>
              </w:rPr>
              <w:t xml:space="preserve"> </w:t>
            </w:r>
          </w:p>
        </w:tc>
      </w:tr>
      <w:tr w:rsidR="00D73F0F" w:rsidRPr="003C6CE9" w14:paraId="675EB127" w14:textId="77777777" w:rsidTr="00A47C20">
        <w:tc>
          <w:tcPr>
            <w:tcW w:w="4453" w:type="dxa"/>
            <w:shd w:val="clear" w:color="auto" w:fill="DDD9C3" w:themeFill="background2" w:themeFillShade="E6"/>
          </w:tcPr>
          <w:p w14:paraId="675EB125" w14:textId="77777777" w:rsidR="00D73F0F" w:rsidRPr="003C6CE9" w:rsidRDefault="00D73F0F" w:rsidP="00A47C20">
            <w:pPr>
              <w:rPr>
                <w:rFonts w:eastAsia="Times New Roman" w:cs="Times New Roman"/>
                <w:b/>
                <w:bCs/>
                <w:sz w:val="20"/>
                <w:szCs w:val="20"/>
                <w:lang w:eastAsia="nl-BE"/>
              </w:rPr>
            </w:pPr>
            <w:r w:rsidRPr="003C6CE9">
              <w:rPr>
                <w:rFonts w:eastAsia="Times New Roman" w:cs="Times New Roman"/>
                <w:b/>
                <w:bCs/>
                <w:sz w:val="20"/>
                <w:szCs w:val="20"/>
                <w:lang w:eastAsia="nl-BE"/>
              </w:rPr>
              <w:t>1. Governance</w:t>
            </w:r>
          </w:p>
        </w:tc>
        <w:tc>
          <w:tcPr>
            <w:tcW w:w="4563" w:type="dxa"/>
            <w:shd w:val="clear" w:color="auto" w:fill="DDD9C3" w:themeFill="background2" w:themeFillShade="E6"/>
          </w:tcPr>
          <w:p w14:paraId="675EB126" w14:textId="77777777" w:rsidR="00D73F0F" w:rsidRPr="003C6CE9" w:rsidRDefault="00D73F0F" w:rsidP="001800A5">
            <w:pPr>
              <w:rPr>
                <w:sz w:val="20"/>
                <w:szCs w:val="20"/>
              </w:rPr>
            </w:pPr>
            <w:r w:rsidRPr="003C6CE9">
              <w:rPr>
                <w:sz w:val="20"/>
                <w:szCs w:val="20"/>
              </w:rPr>
              <w:t xml:space="preserve">Governance refers to the entirety of regulations – that is, the processes by which norms, rules and programs are monitored, </w:t>
            </w:r>
            <w:proofErr w:type="gramStart"/>
            <w:r w:rsidRPr="003C6CE9">
              <w:rPr>
                <w:sz w:val="20"/>
                <w:szCs w:val="20"/>
              </w:rPr>
              <w:t>enforced</w:t>
            </w:r>
            <w:proofErr w:type="gramEnd"/>
            <w:r w:rsidRPr="003C6CE9">
              <w:rPr>
                <w:sz w:val="20"/>
                <w:szCs w:val="20"/>
              </w:rPr>
              <w:t xml:space="preserve"> and adapted, as well as the structures in which they work – put forward with reference to solving a specific problem or providing a common good </w:t>
            </w:r>
            <w:r>
              <w:rPr>
                <w:noProof/>
                <w:sz w:val="20"/>
                <w:szCs w:val="20"/>
              </w:rPr>
              <w:t>[2]</w:t>
            </w:r>
            <w:r w:rsidRPr="003C6CE9">
              <w:rPr>
                <w:sz w:val="20"/>
                <w:szCs w:val="20"/>
              </w:rPr>
              <w:t xml:space="preserve">. It involves ensuring the existence of strategic policy frameworks, effective oversight and coalition-building, provision of appropriate incentives, and attention to system design, and accountability </w:t>
            </w:r>
            <w:r>
              <w:rPr>
                <w:noProof/>
                <w:sz w:val="20"/>
                <w:szCs w:val="20"/>
              </w:rPr>
              <w:t>[1, 3-7]</w:t>
            </w:r>
            <w:r w:rsidRPr="003C6CE9">
              <w:rPr>
                <w:sz w:val="20"/>
                <w:szCs w:val="20"/>
              </w:rPr>
              <w:t>.</w:t>
            </w:r>
          </w:p>
        </w:tc>
      </w:tr>
      <w:tr w:rsidR="00D73F0F" w:rsidRPr="003C6CE9" w14:paraId="675EB12C" w14:textId="77777777" w:rsidTr="00A47C20">
        <w:tc>
          <w:tcPr>
            <w:tcW w:w="4453" w:type="dxa"/>
          </w:tcPr>
          <w:p w14:paraId="675EB128" w14:textId="77777777" w:rsidR="00D73F0F" w:rsidRPr="003C6CE9" w:rsidRDefault="00D73F0F" w:rsidP="00A47C20">
            <w:pPr>
              <w:rPr>
                <w:rFonts w:eastAsia="Times New Roman" w:cs="Times New Roman"/>
                <w:b/>
                <w:bCs/>
                <w:sz w:val="20"/>
                <w:szCs w:val="20"/>
                <w:lang w:eastAsia="nl-BE"/>
              </w:rPr>
            </w:pPr>
            <w:r w:rsidRPr="003C6CE9">
              <w:rPr>
                <w:rFonts w:eastAsia="Times New Roman" w:cs="Times New Roman"/>
                <w:b/>
                <w:bCs/>
                <w:sz w:val="20"/>
                <w:szCs w:val="20"/>
                <w:lang w:eastAsia="nl-BE"/>
              </w:rPr>
              <w:t>1.1 NCD policies and strategic plans on integrated care for chronic diseases</w:t>
            </w:r>
          </w:p>
          <w:p w14:paraId="675EB129" w14:textId="77777777" w:rsidR="00D73F0F" w:rsidRPr="003C6CE9" w:rsidRDefault="00D73F0F" w:rsidP="00A47C20">
            <w:pPr>
              <w:rPr>
                <w:rFonts w:ascii="docs-Calibri" w:eastAsia="Times New Roman" w:hAnsi="docs-Calibri" w:cs="Times New Roman"/>
                <w:b/>
                <w:bCs/>
                <w:color w:val="000000"/>
                <w:sz w:val="23"/>
                <w:szCs w:val="23"/>
                <w:shd w:val="clear" w:color="auto" w:fill="FFFFFF"/>
                <w:lang w:eastAsia="nl-BE"/>
              </w:rPr>
            </w:pPr>
          </w:p>
          <w:p w14:paraId="675EB12A" w14:textId="77777777" w:rsidR="00D73F0F" w:rsidRPr="003C6CE9" w:rsidRDefault="00D73F0F" w:rsidP="001800A5">
            <w:pPr>
              <w:rPr>
                <w:rFonts w:eastAsia="Times New Roman" w:cs="Times New Roman"/>
                <w:b/>
                <w:bCs/>
                <w:sz w:val="20"/>
                <w:szCs w:val="20"/>
                <w:lang w:eastAsia="nl-BE"/>
              </w:rPr>
            </w:pPr>
            <w:r w:rsidRPr="003C6CE9">
              <w:rPr>
                <w:rFonts w:eastAsia="Times New Roman" w:cs="Times New Roman"/>
                <w:i/>
                <w:iCs/>
                <w:sz w:val="20"/>
                <w:szCs w:val="20"/>
                <w:lang w:eastAsia="nl-BE"/>
              </w:rPr>
              <w:t>Link to:</w:t>
            </w:r>
            <w:r w:rsidRPr="003C6CE9">
              <w:rPr>
                <w:rFonts w:eastAsia="Times New Roman" w:cs="Times New Roman"/>
                <w:sz w:val="20"/>
                <w:szCs w:val="20"/>
                <w:lang w:eastAsia="nl-BE"/>
              </w:rPr>
              <w:t xml:space="preserve"> Stewardship, oversight </w:t>
            </w:r>
            <w:r>
              <w:rPr>
                <w:rFonts w:eastAsia="Times New Roman" w:cs="Times New Roman"/>
                <w:noProof/>
                <w:sz w:val="20"/>
                <w:szCs w:val="20"/>
                <w:lang w:eastAsia="nl-BE"/>
              </w:rPr>
              <w:t>[8]</w:t>
            </w:r>
            <w:r w:rsidRPr="003C6CE9">
              <w:rPr>
                <w:rFonts w:eastAsia="Times New Roman" w:cs="Times New Roman"/>
                <w:sz w:val="20"/>
                <w:szCs w:val="20"/>
                <w:lang w:eastAsia="nl-BE"/>
              </w:rPr>
              <w:t xml:space="preserve">, strategic direction/vision and policy design </w:t>
            </w:r>
            <w:r>
              <w:rPr>
                <w:rFonts w:eastAsia="Times New Roman" w:cs="Times New Roman"/>
                <w:noProof/>
                <w:sz w:val="20"/>
                <w:szCs w:val="20"/>
                <w:lang w:eastAsia="nl-BE"/>
              </w:rPr>
              <w:t>[6, 8]</w:t>
            </w:r>
            <w:r w:rsidRPr="003C6CE9">
              <w:rPr>
                <w:rFonts w:eastAsia="Times New Roman" w:cs="Times New Roman"/>
                <w:sz w:val="20"/>
                <w:szCs w:val="20"/>
                <w:lang w:eastAsia="nl-BE"/>
              </w:rPr>
              <w:t xml:space="preserve">, strategic policy </w:t>
            </w:r>
            <w:r w:rsidRPr="00DC4CB4">
              <w:rPr>
                <w:rFonts w:eastAsia="Times New Roman" w:cs="Times New Roman"/>
                <w:sz w:val="20"/>
                <w:szCs w:val="20"/>
                <w:lang w:eastAsia="nl-BE"/>
              </w:rPr>
              <w:t>frameworks</w:t>
            </w:r>
            <w:r w:rsidRPr="00DC4CB4">
              <w:rPr>
                <w:rFonts w:eastAsia="Times New Roman" w:cs="Times New Roman"/>
                <w:bCs/>
                <w:sz w:val="20"/>
                <w:szCs w:val="20"/>
                <w:lang w:eastAsia="nl-BE"/>
              </w:rPr>
              <w:t xml:space="preserve"> </w:t>
            </w:r>
            <w:r>
              <w:rPr>
                <w:rFonts w:eastAsia="Times New Roman" w:cs="Times New Roman"/>
                <w:bCs/>
                <w:noProof/>
                <w:sz w:val="20"/>
                <w:szCs w:val="20"/>
                <w:lang w:eastAsia="nl-BE"/>
              </w:rPr>
              <w:t>[3-7]</w:t>
            </w:r>
            <w:r w:rsidRPr="003C6CE9" w:rsidDel="00DC4CB4">
              <w:rPr>
                <w:sz w:val="20"/>
                <w:szCs w:val="20"/>
              </w:rPr>
              <w:t xml:space="preserve"> </w:t>
            </w:r>
          </w:p>
        </w:tc>
        <w:tc>
          <w:tcPr>
            <w:tcW w:w="4563" w:type="dxa"/>
          </w:tcPr>
          <w:p w14:paraId="675EB12B" w14:textId="77777777" w:rsidR="00D73F0F" w:rsidRPr="003C6CE9" w:rsidRDefault="00D73F0F" w:rsidP="001800A5">
            <w:r w:rsidRPr="003C6CE9">
              <w:rPr>
                <w:sz w:val="20"/>
                <w:szCs w:val="20"/>
              </w:rPr>
              <w:t xml:space="preserve">Stewardship offers a perspective on </w:t>
            </w:r>
            <w:proofErr w:type="gramStart"/>
            <w:r w:rsidRPr="003C6CE9">
              <w:rPr>
                <w:sz w:val="20"/>
                <w:szCs w:val="20"/>
              </w:rPr>
              <w:t>governance,</w:t>
            </w:r>
            <w:proofErr w:type="gramEnd"/>
            <w:r w:rsidRPr="003C6CE9">
              <w:rPr>
                <w:sz w:val="20"/>
                <w:szCs w:val="20"/>
              </w:rPr>
              <w:t xml:space="preserve"> it is an </w:t>
            </w:r>
            <w:r w:rsidRPr="003C6CE9">
              <w:rPr>
                <w:i/>
                <w:iCs/>
                <w:sz w:val="20"/>
                <w:szCs w:val="20"/>
              </w:rPr>
              <w:t>oversight</w:t>
            </w:r>
            <w:r w:rsidRPr="003C6CE9">
              <w:rPr>
                <w:sz w:val="20"/>
                <w:szCs w:val="20"/>
              </w:rPr>
              <w:t xml:space="preserve"> function that is the responsibility of government and involves “setting and enforcing the rules of the game and providing </w:t>
            </w:r>
            <w:r w:rsidRPr="003C6CE9">
              <w:rPr>
                <w:i/>
                <w:iCs/>
                <w:sz w:val="20"/>
                <w:szCs w:val="20"/>
              </w:rPr>
              <w:t>strategic direction</w:t>
            </w:r>
            <w:r w:rsidRPr="003C6CE9">
              <w:rPr>
                <w:sz w:val="20"/>
                <w:szCs w:val="20"/>
              </w:rPr>
              <w:t xml:space="preserve"> for all the different actors involved” </w:t>
            </w:r>
            <w:r>
              <w:rPr>
                <w:noProof/>
                <w:sz w:val="20"/>
                <w:szCs w:val="20"/>
              </w:rPr>
              <w:t>[8]</w:t>
            </w:r>
            <w:r w:rsidRPr="003C6CE9">
              <w:rPr>
                <w:sz w:val="20"/>
                <w:szCs w:val="20"/>
              </w:rPr>
              <w:t xml:space="preserve">. It is the government, through the Ministry of Health, which remains steward of the health system </w:t>
            </w:r>
            <w:r>
              <w:rPr>
                <w:noProof/>
                <w:sz w:val="20"/>
                <w:szCs w:val="20"/>
              </w:rPr>
              <w:t>[8]</w:t>
            </w:r>
            <w:r w:rsidRPr="003C6CE9">
              <w:rPr>
                <w:sz w:val="20"/>
                <w:szCs w:val="20"/>
              </w:rPr>
              <w:t>.</w:t>
            </w:r>
            <w:r w:rsidRPr="003C6CE9">
              <w:t xml:space="preserve"> </w:t>
            </w:r>
          </w:p>
        </w:tc>
      </w:tr>
      <w:tr w:rsidR="00D73F0F" w:rsidRPr="003C6CE9" w14:paraId="675EB131" w14:textId="77777777" w:rsidTr="00A47C20">
        <w:tc>
          <w:tcPr>
            <w:tcW w:w="4453" w:type="dxa"/>
          </w:tcPr>
          <w:p w14:paraId="675EB12D" w14:textId="77777777" w:rsidR="00D73F0F" w:rsidRPr="003C6CE9" w:rsidRDefault="00D73F0F" w:rsidP="00A47C20">
            <w:pPr>
              <w:rPr>
                <w:rFonts w:eastAsia="Times New Roman" w:cs="Times New Roman"/>
                <w:b/>
                <w:bCs/>
                <w:sz w:val="20"/>
                <w:szCs w:val="20"/>
                <w:lang w:eastAsia="nl-BE"/>
              </w:rPr>
            </w:pPr>
            <w:r w:rsidRPr="003C6CE9">
              <w:rPr>
                <w:rFonts w:eastAsia="Times New Roman" w:cs="Times New Roman"/>
                <w:b/>
                <w:bCs/>
                <w:sz w:val="20"/>
                <w:szCs w:val="20"/>
                <w:lang w:eastAsia="nl-BE"/>
              </w:rPr>
              <w:t>1.2 Stakeholder collaborations (collaborative governance)</w:t>
            </w:r>
          </w:p>
          <w:p w14:paraId="675EB12E" w14:textId="77777777" w:rsidR="00D73F0F" w:rsidRPr="003C6CE9" w:rsidRDefault="00D73F0F" w:rsidP="00A47C20">
            <w:pPr>
              <w:rPr>
                <w:rFonts w:eastAsia="Times New Roman" w:cs="Times New Roman"/>
                <w:b/>
                <w:bCs/>
                <w:sz w:val="20"/>
                <w:szCs w:val="20"/>
                <w:lang w:eastAsia="nl-BE"/>
              </w:rPr>
            </w:pPr>
          </w:p>
          <w:p w14:paraId="675EB12F" w14:textId="77777777" w:rsidR="00D73F0F" w:rsidRPr="003C6CE9" w:rsidRDefault="00D73F0F" w:rsidP="001800A5">
            <w:pPr>
              <w:rPr>
                <w:rFonts w:eastAsia="Times New Roman" w:cs="Times New Roman"/>
                <w:sz w:val="20"/>
                <w:szCs w:val="20"/>
                <w:lang w:eastAsia="nl-BE"/>
              </w:rPr>
            </w:pPr>
            <w:r w:rsidRPr="003C6CE9">
              <w:rPr>
                <w:rFonts w:eastAsia="Times New Roman" w:cs="Times New Roman"/>
                <w:i/>
                <w:iCs/>
                <w:sz w:val="20"/>
                <w:szCs w:val="20"/>
                <w:lang w:eastAsia="nl-BE"/>
              </w:rPr>
              <w:t>Link to:</w:t>
            </w:r>
            <w:r w:rsidRPr="003C6CE9">
              <w:rPr>
                <w:rFonts w:eastAsia="Times New Roman" w:cs="Times New Roman"/>
                <w:sz w:val="20"/>
                <w:szCs w:val="20"/>
                <w:lang w:eastAsia="nl-BE"/>
              </w:rPr>
              <w:t xml:space="preserve"> participation and consensus orientation </w:t>
            </w:r>
            <w:r>
              <w:rPr>
                <w:rFonts w:eastAsia="Times New Roman" w:cs="Times New Roman"/>
                <w:noProof/>
                <w:sz w:val="20"/>
                <w:szCs w:val="20"/>
                <w:lang w:eastAsia="nl-BE"/>
              </w:rPr>
              <w:t>[6]</w:t>
            </w:r>
            <w:r w:rsidRPr="003C6CE9">
              <w:rPr>
                <w:rFonts w:eastAsia="Times New Roman" w:cs="Times New Roman"/>
                <w:sz w:val="20"/>
                <w:szCs w:val="20"/>
                <w:lang w:eastAsia="nl-BE"/>
              </w:rPr>
              <w:t xml:space="preserve">, coalition-building </w:t>
            </w:r>
            <w:r>
              <w:rPr>
                <w:rFonts w:eastAsia="Times New Roman" w:cs="Times New Roman"/>
                <w:bCs/>
                <w:noProof/>
                <w:sz w:val="20"/>
                <w:szCs w:val="20"/>
                <w:lang w:eastAsia="nl-BE"/>
              </w:rPr>
              <w:t>[3-7]</w:t>
            </w:r>
            <w:r w:rsidRPr="003C6CE9">
              <w:rPr>
                <w:sz w:val="20"/>
                <w:szCs w:val="20"/>
              </w:rPr>
              <w:t xml:space="preserve">, networks </w:t>
            </w:r>
            <w:r>
              <w:rPr>
                <w:noProof/>
                <w:sz w:val="20"/>
                <w:szCs w:val="20"/>
              </w:rPr>
              <w:t>[9-11</w:t>
            </w:r>
            <w:proofErr w:type="gramStart"/>
            <w:r>
              <w:rPr>
                <w:noProof/>
                <w:sz w:val="20"/>
                <w:szCs w:val="20"/>
              </w:rPr>
              <w:t>]</w:t>
            </w:r>
            <w:r w:rsidRPr="003C6CE9" w:rsidDel="00C069EB">
              <w:rPr>
                <w:sz w:val="20"/>
                <w:szCs w:val="20"/>
              </w:rPr>
              <w:t xml:space="preserve"> </w:t>
            </w:r>
            <w:r w:rsidRPr="003C6CE9">
              <w:rPr>
                <w:sz w:val="20"/>
                <w:szCs w:val="20"/>
              </w:rPr>
              <w:t>,</w:t>
            </w:r>
            <w:proofErr w:type="gramEnd"/>
            <w:r w:rsidRPr="003C6CE9">
              <w:rPr>
                <w:sz w:val="20"/>
                <w:szCs w:val="20"/>
              </w:rPr>
              <w:t xml:space="preserve"> collaborative governance </w:t>
            </w:r>
            <w:r>
              <w:rPr>
                <w:noProof/>
                <w:sz w:val="20"/>
                <w:szCs w:val="20"/>
              </w:rPr>
              <w:t>[12, 13]</w:t>
            </w:r>
            <w:r w:rsidRPr="003C6CE9" w:rsidDel="00C069EB">
              <w:rPr>
                <w:sz w:val="20"/>
                <w:szCs w:val="20"/>
              </w:rPr>
              <w:t xml:space="preserve"> </w:t>
            </w:r>
          </w:p>
        </w:tc>
        <w:tc>
          <w:tcPr>
            <w:tcW w:w="4563" w:type="dxa"/>
          </w:tcPr>
          <w:p w14:paraId="675EB130" w14:textId="77777777" w:rsidR="00D73F0F" w:rsidRPr="003C6CE9" w:rsidRDefault="00D73F0F" w:rsidP="001800A5">
            <w:pPr>
              <w:rPr>
                <w:sz w:val="20"/>
                <w:szCs w:val="20"/>
              </w:rPr>
            </w:pPr>
            <w:r w:rsidRPr="003C6CE9">
              <w:rPr>
                <w:sz w:val="20"/>
                <w:szCs w:val="20"/>
              </w:rPr>
              <w:t xml:space="preserve">“(…) interactions with social actors such as networks, with market actors, or with other governments, but all these forms represent means of governing involving mixtures of state action with the actions of other entities” </w:t>
            </w:r>
            <w:r>
              <w:rPr>
                <w:noProof/>
                <w:sz w:val="20"/>
                <w:szCs w:val="20"/>
              </w:rPr>
              <w:t>[12, 13]</w:t>
            </w:r>
            <w:r w:rsidRPr="003C6CE9">
              <w:rPr>
                <w:sz w:val="20"/>
                <w:szCs w:val="20"/>
              </w:rPr>
              <w:t xml:space="preserve">. Social participation requires all stakeholders in the participatory process to be able to </w:t>
            </w:r>
            <w:proofErr w:type="gramStart"/>
            <w:r w:rsidRPr="003C6CE9">
              <w:rPr>
                <w:sz w:val="20"/>
                <w:szCs w:val="20"/>
              </w:rPr>
              <w:t>adequately and fully exercise their roles</w:t>
            </w:r>
            <w:proofErr w:type="gramEnd"/>
            <w:r w:rsidRPr="003C6CE9">
              <w:rPr>
                <w:sz w:val="20"/>
                <w:szCs w:val="20"/>
              </w:rPr>
              <w:t xml:space="preserve">. </w:t>
            </w:r>
            <w:proofErr w:type="gramStart"/>
            <w:r w:rsidRPr="003C6CE9">
              <w:rPr>
                <w:sz w:val="20"/>
                <w:szCs w:val="20"/>
              </w:rPr>
              <w:t>In order to</w:t>
            </w:r>
            <w:proofErr w:type="gramEnd"/>
            <w:r w:rsidRPr="003C6CE9">
              <w:rPr>
                <w:sz w:val="20"/>
                <w:szCs w:val="20"/>
              </w:rPr>
              <w:t xml:space="preserve"> do so, all stakeholders should be, as far as possible, on an equal footing with each other in terms of ability to have influence on the participation-based discussions </w:t>
            </w:r>
            <w:r>
              <w:rPr>
                <w:noProof/>
                <w:sz w:val="20"/>
                <w:szCs w:val="20"/>
              </w:rPr>
              <w:t>[14]</w:t>
            </w:r>
            <w:r w:rsidRPr="003C6CE9">
              <w:rPr>
                <w:sz w:val="20"/>
                <w:szCs w:val="20"/>
              </w:rPr>
              <w:t>.</w:t>
            </w:r>
          </w:p>
        </w:tc>
      </w:tr>
      <w:tr w:rsidR="00D73F0F" w:rsidRPr="003C6CE9" w14:paraId="675EB137" w14:textId="77777777" w:rsidTr="00A47C20">
        <w:tc>
          <w:tcPr>
            <w:tcW w:w="4453" w:type="dxa"/>
          </w:tcPr>
          <w:p w14:paraId="675EB132" w14:textId="77777777" w:rsidR="00D73F0F" w:rsidRPr="003C6CE9" w:rsidRDefault="00D73F0F" w:rsidP="00A47C20">
            <w:pPr>
              <w:rPr>
                <w:rFonts w:eastAsia="Times New Roman" w:cs="Times New Roman"/>
                <w:b/>
                <w:bCs/>
                <w:sz w:val="20"/>
                <w:szCs w:val="20"/>
                <w:lang w:eastAsia="nl-BE"/>
              </w:rPr>
            </w:pPr>
            <w:r w:rsidRPr="003C6CE9">
              <w:rPr>
                <w:rFonts w:eastAsia="Times New Roman" w:cs="Times New Roman"/>
                <w:b/>
                <w:bCs/>
                <w:sz w:val="20"/>
                <w:szCs w:val="20"/>
                <w:lang w:eastAsia="nl-BE"/>
              </w:rPr>
              <w:t>1.2.1 Inter-sectoral approach</w:t>
            </w:r>
          </w:p>
          <w:p w14:paraId="675EB133" w14:textId="77777777" w:rsidR="00D73F0F" w:rsidRPr="003C6CE9" w:rsidRDefault="00D73F0F" w:rsidP="00A47C20">
            <w:pPr>
              <w:rPr>
                <w:rFonts w:eastAsia="Times New Roman" w:cs="Times New Roman"/>
                <w:b/>
                <w:bCs/>
                <w:sz w:val="20"/>
                <w:szCs w:val="20"/>
                <w:lang w:eastAsia="nl-BE"/>
              </w:rPr>
            </w:pPr>
          </w:p>
          <w:p w14:paraId="675EB134" w14:textId="77777777" w:rsidR="00D73F0F" w:rsidRPr="003C6CE9" w:rsidRDefault="00D73F0F" w:rsidP="001800A5">
            <w:pPr>
              <w:rPr>
                <w:rFonts w:eastAsia="Times New Roman" w:cs="Times New Roman"/>
                <w:i/>
                <w:iCs/>
                <w:sz w:val="20"/>
                <w:szCs w:val="20"/>
                <w:lang w:eastAsia="nl-BE"/>
              </w:rPr>
            </w:pPr>
            <w:r w:rsidRPr="003C6CE9">
              <w:rPr>
                <w:rFonts w:eastAsia="Times New Roman" w:cs="Times New Roman"/>
                <w:i/>
                <w:iCs/>
                <w:sz w:val="20"/>
                <w:szCs w:val="20"/>
                <w:lang w:eastAsia="nl-BE"/>
              </w:rPr>
              <w:t xml:space="preserve">Link to: </w:t>
            </w:r>
            <w:r w:rsidRPr="003C6CE9">
              <w:rPr>
                <w:rFonts w:eastAsia="Times New Roman" w:cs="Times New Roman"/>
                <w:sz w:val="20"/>
                <w:szCs w:val="20"/>
                <w:lang w:eastAsia="nl-BE"/>
              </w:rPr>
              <w:t>intersectoral governance</w:t>
            </w:r>
            <w:r w:rsidRPr="003C6CE9">
              <w:rPr>
                <w:rFonts w:eastAsia="Times New Roman" w:cs="Times New Roman"/>
                <w:i/>
                <w:iCs/>
                <w:sz w:val="20"/>
                <w:szCs w:val="20"/>
                <w:lang w:eastAsia="nl-BE"/>
              </w:rPr>
              <w:t xml:space="preserve"> </w:t>
            </w:r>
            <w:r>
              <w:rPr>
                <w:rFonts w:eastAsia="Times New Roman" w:cs="Times New Roman"/>
                <w:iCs/>
                <w:noProof/>
                <w:sz w:val="20"/>
                <w:szCs w:val="20"/>
                <w:lang w:eastAsia="nl-BE"/>
              </w:rPr>
              <w:t>[15]</w:t>
            </w:r>
            <w:r w:rsidRPr="00D952FD" w:rsidDel="00D952FD">
              <w:rPr>
                <w:rFonts w:eastAsia="Times New Roman" w:cs="Times New Roman"/>
                <w:iCs/>
                <w:sz w:val="20"/>
                <w:szCs w:val="20"/>
                <w:lang w:eastAsia="nl-BE"/>
              </w:rPr>
              <w:t xml:space="preserve"> </w:t>
            </w:r>
          </w:p>
        </w:tc>
        <w:tc>
          <w:tcPr>
            <w:tcW w:w="4563" w:type="dxa"/>
          </w:tcPr>
          <w:p w14:paraId="675EB135" w14:textId="77777777" w:rsidR="00D73F0F" w:rsidRPr="003C6CE9" w:rsidRDefault="00D73F0F" w:rsidP="00A47C20">
            <w:pPr>
              <w:rPr>
                <w:sz w:val="20"/>
                <w:szCs w:val="20"/>
              </w:rPr>
            </w:pPr>
            <w:r w:rsidRPr="003C6CE9">
              <w:rPr>
                <w:sz w:val="20"/>
                <w:szCs w:val="20"/>
              </w:rPr>
              <w:t xml:space="preserve">The extent to which solely medical approach is being abandoned; is there collaboration between medical and social sector? To what extent do other ministries, industry etc. take part in </w:t>
            </w:r>
            <w:proofErr w:type="gramStart"/>
            <w:r w:rsidRPr="003C6CE9">
              <w:rPr>
                <w:sz w:val="20"/>
                <w:szCs w:val="20"/>
              </w:rPr>
              <w:t>policy-making</w:t>
            </w:r>
            <w:proofErr w:type="gramEnd"/>
            <w:r w:rsidRPr="003C6CE9">
              <w:rPr>
                <w:sz w:val="20"/>
                <w:szCs w:val="20"/>
              </w:rPr>
              <w:t xml:space="preserve"> for IC?</w:t>
            </w:r>
          </w:p>
          <w:p w14:paraId="675EB136" w14:textId="77777777" w:rsidR="00D73F0F" w:rsidRPr="003C6CE9" w:rsidRDefault="00D73F0F" w:rsidP="00A47C20">
            <w:pPr>
              <w:rPr>
                <w:sz w:val="20"/>
                <w:szCs w:val="20"/>
              </w:rPr>
            </w:pPr>
          </w:p>
        </w:tc>
      </w:tr>
      <w:tr w:rsidR="00D73F0F" w:rsidRPr="003C6CE9" w14:paraId="675EB13F" w14:textId="77777777" w:rsidTr="00A47C20">
        <w:tc>
          <w:tcPr>
            <w:tcW w:w="4453" w:type="dxa"/>
          </w:tcPr>
          <w:p w14:paraId="675EB138" w14:textId="77777777" w:rsidR="00D73F0F" w:rsidRPr="003C6CE9" w:rsidRDefault="00D73F0F" w:rsidP="001800A5">
            <w:pPr>
              <w:rPr>
                <w:rFonts w:eastAsia="Times New Roman" w:cs="Times New Roman"/>
                <w:b/>
                <w:bCs/>
                <w:sz w:val="20"/>
                <w:szCs w:val="20"/>
                <w:lang w:eastAsia="nl-BE"/>
              </w:rPr>
            </w:pPr>
            <w:r w:rsidRPr="003C6CE9">
              <w:rPr>
                <w:rFonts w:eastAsia="Times New Roman" w:cs="Times New Roman"/>
                <w:b/>
                <w:bCs/>
                <w:sz w:val="20"/>
                <w:szCs w:val="20"/>
                <w:lang w:eastAsia="nl-BE"/>
              </w:rPr>
              <w:t xml:space="preserve">1.3 Accountability </w:t>
            </w:r>
            <w:r>
              <w:rPr>
                <w:rFonts w:eastAsia="Times New Roman" w:cs="Times New Roman"/>
                <w:bCs/>
                <w:noProof/>
                <w:sz w:val="20"/>
                <w:szCs w:val="20"/>
                <w:lang w:eastAsia="nl-BE"/>
              </w:rPr>
              <w:t>[3-7]</w:t>
            </w:r>
            <w:r w:rsidRPr="003C6CE9" w:rsidDel="00D952FD">
              <w:rPr>
                <w:rFonts w:eastAsia="Times New Roman" w:cs="Times New Roman"/>
                <w:sz w:val="20"/>
                <w:szCs w:val="20"/>
                <w:lang w:eastAsia="nl-BE"/>
              </w:rPr>
              <w:t xml:space="preserve"> </w:t>
            </w:r>
          </w:p>
        </w:tc>
        <w:tc>
          <w:tcPr>
            <w:tcW w:w="4563" w:type="dxa"/>
          </w:tcPr>
          <w:p w14:paraId="675EB139" w14:textId="77777777" w:rsidR="00D73F0F" w:rsidRPr="003C6CE9" w:rsidRDefault="00D73F0F" w:rsidP="00A47C20">
            <w:pPr>
              <w:rPr>
                <w:sz w:val="20"/>
                <w:szCs w:val="20"/>
              </w:rPr>
            </w:pPr>
            <w:r w:rsidRPr="003C6CE9">
              <w:rPr>
                <w:sz w:val="20"/>
                <w:szCs w:val="20"/>
              </w:rPr>
              <w:t>“Accountability means being answerable to someone for decisions and actions. […] there are several common principles:</w:t>
            </w:r>
          </w:p>
          <w:p w14:paraId="675EB13A" w14:textId="77777777" w:rsidR="00D73F0F" w:rsidRPr="003C6CE9" w:rsidRDefault="00D73F0F" w:rsidP="00A47C20">
            <w:pPr>
              <w:pStyle w:val="ListParagraph"/>
              <w:numPr>
                <w:ilvl w:val="0"/>
                <w:numId w:val="3"/>
              </w:numPr>
              <w:spacing w:after="0" w:line="240" w:lineRule="auto"/>
              <w:rPr>
                <w:sz w:val="20"/>
                <w:szCs w:val="20"/>
              </w:rPr>
            </w:pPr>
            <w:r w:rsidRPr="003C6CE9">
              <w:rPr>
                <w:sz w:val="20"/>
                <w:szCs w:val="20"/>
              </w:rPr>
              <w:t>Accountability in health services delivery is predicated on relationships between the ones making the decisions and those affected by them.</w:t>
            </w:r>
          </w:p>
          <w:p w14:paraId="675EB13B" w14:textId="77777777" w:rsidR="00D73F0F" w:rsidRPr="003C6CE9" w:rsidRDefault="00D73F0F" w:rsidP="00A47C20">
            <w:pPr>
              <w:pStyle w:val="ListParagraph"/>
              <w:numPr>
                <w:ilvl w:val="0"/>
                <w:numId w:val="3"/>
              </w:numPr>
              <w:spacing w:after="0" w:line="240" w:lineRule="auto"/>
              <w:rPr>
                <w:sz w:val="20"/>
                <w:szCs w:val="20"/>
              </w:rPr>
            </w:pPr>
            <w:r w:rsidRPr="003C6CE9">
              <w:rPr>
                <w:sz w:val="20"/>
                <w:szCs w:val="20"/>
              </w:rPr>
              <w:t xml:space="preserve">A set of goals or objectives must be defined including clear explanation of roles and responsibilities of each party in achieving the </w:t>
            </w:r>
            <w:r w:rsidRPr="003C6CE9">
              <w:rPr>
                <w:sz w:val="20"/>
                <w:szCs w:val="20"/>
              </w:rPr>
              <w:lastRenderedPageBreak/>
              <w:t>goals.</w:t>
            </w:r>
          </w:p>
          <w:p w14:paraId="675EB13C" w14:textId="77777777" w:rsidR="00D73F0F" w:rsidRPr="003C6CE9" w:rsidRDefault="00D73F0F" w:rsidP="00A47C20">
            <w:pPr>
              <w:pStyle w:val="ListParagraph"/>
              <w:numPr>
                <w:ilvl w:val="0"/>
                <w:numId w:val="3"/>
              </w:numPr>
              <w:spacing w:after="0" w:line="240" w:lineRule="auto"/>
              <w:rPr>
                <w:sz w:val="20"/>
                <w:szCs w:val="20"/>
              </w:rPr>
            </w:pPr>
            <w:r w:rsidRPr="003C6CE9">
              <w:rPr>
                <w:sz w:val="20"/>
                <w:szCs w:val="20"/>
              </w:rPr>
              <w:t xml:space="preserve">The accountability relationship is governed by the ability to measure and monitor if these objectives or goals are being met.” </w:t>
            </w:r>
            <w:r>
              <w:rPr>
                <w:noProof/>
                <w:sz w:val="20"/>
                <w:szCs w:val="20"/>
              </w:rPr>
              <w:t>[16]</w:t>
            </w:r>
            <w:r w:rsidRPr="003C6CE9" w:rsidDel="00743401">
              <w:rPr>
                <w:sz w:val="20"/>
                <w:szCs w:val="20"/>
              </w:rPr>
              <w:t xml:space="preserve"> </w:t>
            </w:r>
          </w:p>
          <w:p w14:paraId="675EB13D" w14:textId="77777777" w:rsidR="00D73F0F" w:rsidRPr="003C6CE9" w:rsidRDefault="00D73F0F" w:rsidP="00A47C20">
            <w:pPr>
              <w:pStyle w:val="ListParagraph"/>
              <w:numPr>
                <w:ilvl w:val="0"/>
                <w:numId w:val="3"/>
              </w:numPr>
              <w:spacing w:after="0" w:line="240" w:lineRule="auto"/>
              <w:rPr>
                <w:sz w:val="20"/>
                <w:szCs w:val="20"/>
              </w:rPr>
            </w:pPr>
            <w:r w:rsidRPr="003C6CE9">
              <w:rPr>
                <w:sz w:val="20"/>
                <w:szCs w:val="20"/>
              </w:rPr>
              <w:t xml:space="preserve">“The need for greater accountability arises both from increased funding and a growing demand to demonstrate results. Accountability is therefore an intrinsic aspect of governance that concerns the management of relationships between various stakeholders in health.” </w:t>
            </w:r>
            <w:r>
              <w:rPr>
                <w:noProof/>
                <w:sz w:val="20"/>
                <w:szCs w:val="20"/>
              </w:rPr>
              <w:t>[1, 16]</w:t>
            </w:r>
            <w:r w:rsidRPr="003C6CE9" w:rsidDel="00D952FD">
              <w:rPr>
                <w:sz w:val="20"/>
                <w:szCs w:val="20"/>
              </w:rPr>
              <w:t xml:space="preserve"> </w:t>
            </w:r>
          </w:p>
          <w:p w14:paraId="675EB13E" w14:textId="77777777" w:rsidR="00D73F0F" w:rsidRPr="003C6CE9" w:rsidRDefault="00D73F0F" w:rsidP="00A47C20">
            <w:pPr>
              <w:rPr>
                <w:sz w:val="20"/>
                <w:szCs w:val="20"/>
              </w:rPr>
            </w:pPr>
          </w:p>
        </w:tc>
      </w:tr>
      <w:tr w:rsidR="00D73F0F" w:rsidRPr="003C6CE9" w14:paraId="675EB142" w14:textId="77777777" w:rsidTr="00A47C20">
        <w:tc>
          <w:tcPr>
            <w:tcW w:w="4453" w:type="dxa"/>
          </w:tcPr>
          <w:p w14:paraId="675EB140" w14:textId="77777777" w:rsidR="00D73F0F" w:rsidRPr="003C6CE9" w:rsidRDefault="00D73F0F" w:rsidP="00A47C20">
            <w:pPr>
              <w:rPr>
                <w:rFonts w:eastAsia="Times New Roman" w:cs="Times New Roman"/>
                <w:b/>
                <w:bCs/>
                <w:color w:val="C00000"/>
                <w:sz w:val="20"/>
                <w:szCs w:val="20"/>
                <w:lang w:eastAsia="nl-BE"/>
              </w:rPr>
            </w:pPr>
            <w:r w:rsidRPr="003C6CE9">
              <w:rPr>
                <w:rFonts w:eastAsia="Times New Roman" w:cs="Times New Roman"/>
                <w:b/>
                <w:bCs/>
                <w:sz w:val="20"/>
                <w:szCs w:val="20"/>
                <w:lang w:eastAsia="nl-BE"/>
              </w:rPr>
              <w:lastRenderedPageBreak/>
              <w:t>1.4 Leadership</w:t>
            </w:r>
          </w:p>
        </w:tc>
        <w:tc>
          <w:tcPr>
            <w:tcW w:w="4563" w:type="dxa"/>
          </w:tcPr>
          <w:p w14:paraId="675EB141" w14:textId="77777777" w:rsidR="00D73F0F" w:rsidRPr="003C6CE9" w:rsidRDefault="00D73F0F" w:rsidP="001800A5">
            <w:pPr>
              <w:rPr>
                <w:sz w:val="20"/>
                <w:szCs w:val="20"/>
              </w:rPr>
            </w:pPr>
            <w:r w:rsidRPr="003C6CE9">
              <w:rPr>
                <w:sz w:val="20"/>
                <w:szCs w:val="20"/>
              </w:rPr>
              <w:t xml:space="preserve">The willingness to initiate, convoke, or lead an action for or against the health reform policy </w:t>
            </w:r>
            <w:r>
              <w:rPr>
                <w:noProof/>
                <w:sz w:val="20"/>
                <w:szCs w:val="20"/>
              </w:rPr>
              <w:t>[17]</w:t>
            </w:r>
            <w:r w:rsidRPr="003C6CE9">
              <w:rPr>
                <w:sz w:val="20"/>
                <w:szCs w:val="20"/>
              </w:rPr>
              <w:t>.</w:t>
            </w:r>
          </w:p>
        </w:tc>
      </w:tr>
      <w:tr w:rsidR="00D73F0F" w:rsidRPr="003C6CE9" w14:paraId="675EB149" w14:textId="77777777" w:rsidTr="00A47C20">
        <w:tc>
          <w:tcPr>
            <w:tcW w:w="4453" w:type="dxa"/>
          </w:tcPr>
          <w:p w14:paraId="675EB143" w14:textId="77777777" w:rsidR="00D73F0F" w:rsidRPr="003C6CE9" w:rsidRDefault="00D73F0F" w:rsidP="00A47C20">
            <w:pPr>
              <w:rPr>
                <w:rFonts w:eastAsia="Times New Roman" w:cs="Times New Roman"/>
                <w:b/>
                <w:bCs/>
                <w:sz w:val="20"/>
                <w:szCs w:val="20"/>
                <w:lang w:eastAsia="nl-BE"/>
              </w:rPr>
            </w:pPr>
            <w:r w:rsidRPr="003C6CE9">
              <w:rPr>
                <w:rFonts w:eastAsia="Times New Roman" w:cs="Times New Roman"/>
                <w:b/>
                <w:bCs/>
                <w:sz w:val="20"/>
                <w:szCs w:val="20"/>
                <w:lang w:eastAsia="nl-BE"/>
              </w:rPr>
              <w:t>1.5 Political interest and power dynamics</w:t>
            </w:r>
          </w:p>
        </w:tc>
        <w:tc>
          <w:tcPr>
            <w:tcW w:w="4563" w:type="dxa"/>
          </w:tcPr>
          <w:p w14:paraId="675EB144" w14:textId="77777777" w:rsidR="00D73F0F" w:rsidRPr="003C6CE9" w:rsidRDefault="00D73F0F" w:rsidP="00A47C20">
            <w:pPr>
              <w:rPr>
                <w:sz w:val="20"/>
                <w:szCs w:val="20"/>
              </w:rPr>
            </w:pPr>
            <w:r w:rsidRPr="003C6CE9" w:rsidDel="006479B0">
              <w:rPr>
                <w:rFonts w:asciiTheme="majorBidi" w:hAnsiTheme="majorBidi" w:cstheme="majorBidi"/>
                <w:sz w:val="20"/>
                <w:szCs w:val="20"/>
              </w:rPr>
              <w:t>The stakeholder’s interest in the policy, or the advantages and disadvantages that implementation of the policy may bring to the stakeholder or his or her organization</w:t>
            </w:r>
            <w:r w:rsidRPr="003C6CE9">
              <w:rPr>
                <w:sz w:val="20"/>
                <w:szCs w:val="20"/>
              </w:rPr>
              <w:t xml:space="preserve"> </w:t>
            </w:r>
            <w:r>
              <w:rPr>
                <w:noProof/>
                <w:sz w:val="20"/>
                <w:szCs w:val="20"/>
              </w:rPr>
              <w:t>[17]</w:t>
            </w:r>
            <w:r w:rsidRPr="003C6CE9" w:rsidDel="006479B0">
              <w:rPr>
                <w:rFonts w:asciiTheme="majorBidi" w:hAnsiTheme="majorBidi" w:cstheme="majorBidi"/>
                <w:sz w:val="20"/>
                <w:szCs w:val="20"/>
              </w:rPr>
              <w:t>; hence the way the stakeholder is affected by the policy.</w:t>
            </w:r>
            <w:r w:rsidRPr="003C6CE9">
              <w:rPr>
                <w:sz w:val="20"/>
                <w:szCs w:val="20"/>
              </w:rPr>
              <w:t xml:space="preserve"> </w:t>
            </w:r>
          </w:p>
          <w:p w14:paraId="675EB145" w14:textId="77777777" w:rsidR="00D73F0F" w:rsidRPr="003C6CE9" w:rsidRDefault="00D73F0F" w:rsidP="00A47C20">
            <w:pPr>
              <w:rPr>
                <w:sz w:val="20"/>
                <w:szCs w:val="20"/>
              </w:rPr>
            </w:pPr>
          </w:p>
          <w:p w14:paraId="675EB146" w14:textId="77777777" w:rsidR="00D73F0F" w:rsidRPr="003C6CE9" w:rsidRDefault="00D73F0F" w:rsidP="00A47C20">
            <w:pPr>
              <w:rPr>
                <w:sz w:val="20"/>
                <w:szCs w:val="20"/>
              </w:rPr>
            </w:pPr>
            <w:r w:rsidRPr="003C6CE9">
              <w:rPr>
                <w:sz w:val="20"/>
                <w:szCs w:val="20"/>
              </w:rPr>
              <w:t xml:space="preserve">Interest is about what stakeholders </w:t>
            </w:r>
            <w:proofErr w:type="gramStart"/>
            <w:r w:rsidRPr="003C6CE9">
              <w:rPr>
                <w:sz w:val="20"/>
                <w:szCs w:val="20"/>
              </w:rPr>
              <w:t>have to</w:t>
            </w:r>
            <w:proofErr w:type="gramEnd"/>
            <w:r w:rsidRPr="003C6CE9">
              <w:rPr>
                <w:sz w:val="20"/>
                <w:szCs w:val="20"/>
              </w:rPr>
              <w:t xml:space="preserve"> win or lose in IC policies. This is highly contextual about the type of stakeholders in the field and the role they play.</w:t>
            </w:r>
          </w:p>
          <w:p w14:paraId="675EB147" w14:textId="77777777" w:rsidR="00D73F0F" w:rsidRPr="003C6CE9" w:rsidRDefault="00D73F0F" w:rsidP="00A47C20">
            <w:pPr>
              <w:rPr>
                <w:sz w:val="20"/>
                <w:szCs w:val="20"/>
              </w:rPr>
            </w:pPr>
          </w:p>
          <w:p w14:paraId="675EB148" w14:textId="77777777" w:rsidR="00D73F0F" w:rsidRPr="003C6CE9" w:rsidRDefault="00D73F0F" w:rsidP="001800A5">
            <w:pPr>
              <w:rPr>
                <w:sz w:val="20"/>
                <w:szCs w:val="20"/>
              </w:rPr>
            </w:pPr>
            <w:r w:rsidRPr="003C6CE9">
              <w:rPr>
                <w:sz w:val="20"/>
                <w:szCs w:val="20"/>
              </w:rPr>
              <w:t xml:space="preserve">Power entails the ability of the stakeholder to affect the implementation of the health reform policy, which determines the level of force with which the stakeholder might support or oppose the policy </w:t>
            </w:r>
            <w:r>
              <w:rPr>
                <w:noProof/>
                <w:sz w:val="20"/>
                <w:szCs w:val="20"/>
              </w:rPr>
              <w:t>[17]</w:t>
            </w:r>
            <w:r w:rsidRPr="003C6CE9">
              <w:rPr>
                <w:sz w:val="20"/>
                <w:szCs w:val="20"/>
              </w:rPr>
              <w:t>.</w:t>
            </w:r>
          </w:p>
        </w:tc>
      </w:tr>
      <w:tr w:rsidR="00D73F0F" w:rsidRPr="003C6CE9" w14:paraId="675EB14C" w14:textId="77777777" w:rsidTr="00A47C20">
        <w:tc>
          <w:tcPr>
            <w:tcW w:w="4453" w:type="dxa"/>
          </w:tcPr>
          <w:p w14:paraId="675EB14A" w14:textId="77777777" w:rsidR="00D73F0F" w:rsidRPr="003C6CE9" w:rsidRDefault="00D73F0F" w:rsidP="00A47C20">
            <w:pPr>
              <w:rPr>
                <w:rFonts w:eastAsia="Times New Roman" w:cs="Times New Roman"/>
                <w:b/>
                <w:bCs/>
                <w:sz w:val="20"/>
                <w:szCs w:val="20"/>
                <w:lang w:eastAsia="nl-BE"/>
              </w:rPr>
            </w:pPr>
            <w:r w:rsidRPr="003C6CE9">
              <w:rPr>
                <w:rFonts w:eastAsia="Times New Roman" w:cs="Times New Roman"/>
                <w:b/>
                <w:bCs/>
                <w:sz w:val="20"/>
                <w:szCs w:val="20"/>
                <w:lang w:eastAsia="nl-BE"/>
              </w:rPr>
              <w:t>1.6 Political commitment</w:t>
            </w:r>
          </w:p>
        </w:tc>
        <w:tc>
          <w:tcPr>
            <w:tcW w:w="4563" w:type="dxa"/>
          </w:tcPr>
          <w:p w14:paraId="675EB14B" w14:textId="77777777" w:rsidR="00D73F0F" w:rsidRPr="003C6CE9" w:rsidRDefault="00D73F0F" w:rsidP="001800A5">
            <w:pPr>
              <w:rPr>
                <w:sz w:val="20"/>
                <w:szCs w:val="20"/>
              </w:rPr>
            </w:pPr>
            <w:r w:rsidRPr="00F23361">
              <w:rPr>
                <w:sz w:val="20"/>
                <w:szCs w:val="20"/>
                <w:lang w:val="en-US"/>
              </w:rPr>
              <w:t xml:space="preserve">Gore et al. </w:t>
            </w:r>
            <w:r w:rsidRPr="003B38AC">
              <w:rPr>
                <w:noProof/>
                <w:sz w:val="20"/>
                <w:szCs w:val="20"/>
                <w:lang w:val="en-US"/>
              </w:rPr>
              <w:t>[18]</w:t>
            </w:r>
            <w:r w:rsidRPr="00E83CFE">
              <w:rPr>
                <w:sz w:val="20"/>
                <w:szCs w:val="20"/>
              </w:rPr>
              <w:t xml:space="preserve"> distinguish three types of commitment, namely: expressive commitment, institutional commitment, and budgetary commitment. </w:t>
            </w:r>
            <w:r w:rsidRPr="003C6CE9">
              <w:rPr>
                <w:sz w:val="20"/>
                <w:szCs w:val="20"/>
              </w:rPr>
              <w:t>“Expressed commitment refers to verbal declarations of support for an issue by high-level, influential political leaders. Institutional commitment comprises the adoption of specific policies and organisational infrastructure in support of an issue. Budgetary commitment consists of earmarked allocations of resources towards a specific issue relative to a particular benchmark. The combination of the three dimensions signals that a state has an explicit intention or policy platform to address this health area.”</w:t>
            </w:r>
          </w:p>
        </w:tc>
      </w:tr>
      <w:tr w:rsidR="00D73F0F" w:rsidRPr="003C6CE9" w14:paraId="675EB151" w14:textId="77777777" w:rsidTr="00A47C20">
        <w:tc>
          <w:tcPr>
            <w:tcW w:w="4453" w:type="dxa"/>
            <w:shd w:val="clear" w:color="auto" w:fill="DDD9C3" w:themeFill="background2" w:themeFillShade="E6"/>
          </w:tcPr>
          <w:p w14:paraId="675EB14D" w14:textId="77777777" w:rsidR="00D73F0F" w:rsidRPr="003C6CE9" w:rsidRDefault="00D73F0F" w:rsidP="00A47C20">
            <w:pPr>
              <w:rPr>
                <w:rFonts w:eastAsia="Times New Roman" w:cs="Times New Roman"/>
                <w:b/>
                <w:bCs/>
                <w:sz w:val="20"/>
                <w:szCs w:val="20"/>
                <w:lang w:eastAsia="nl-BE"/>
              </w:rPr>
            </w:pPr>
            <w:r w:rsidRPr="003C6CE9">
              <w:rPr>
                <w:rFonts w:eastAsia="Times New Roman" w:cs="Times New Roman"/>
                <w:b/>
                <w:bCs/>
                <w:sz w:val="20"/>
                <w:szCs w:val="20"/>
                <w:lang w:eastAsia="nl-BE"/>
              </w:rPr>
              <w:t>2. Health system delivery</w:t>
            </w:r>
          </w:p>
        </w:tc>
        <w:tc>
          <w:tcPr>
            <w:tcW w:w="4563" w:type="dxa"/>
            <w:shd w:val="clear" w:color="auto" w:fill="DDD9C3" w:themeFill="background2" w:themeFillShade="E6"/>
          </w:tcPr>
          <w:p w14:paraId="675EB14E" w14:textId="77777777" w:rsidR="00D73F0F" w:rsidRPr="003C6CE9" w:rsidRDefault="00D73F0F" w:rsidP="00A47C20">
            <w:pPr>
              <w:rPr>
                <w:sz w:val="20"/>
                <w:szCs w:val="20"/>
              </w:rPr>
            </w:pPr>
            <w:r w:rsidRPr="003C6CE9">
              <w:rPr>
                <w:sz w:val="20"/>
                <w:szCs w:val="20"/>
              </w:rPr>
              <w:t xml:space="preserve">“Service provision or delivery is an immediate output of the inputs into the health system, such as the health workforce, procurement and supplies, and financing. Increased inputs should lead to improved service delivery and enhanced access to services.” </w:t>
            </w:r>
            <w:r>
              <w:rPr>
                <w:noProof/>
                <w:sz w:val="20"/>
                <w:szCs w:val="20"/>
              </w:rPr>
              <w:t>[1]</w:t>
            </w:r>
            <w:r w:rsidRPr="003C6CE9" w:rsidDel="00CB13BC">
              <w:rPr>
                <w:sz w:val="20"/>
                <w:szCs w:val="20"/>
              </w:rPr>
              <w:t xml:space="preserve"> </w:t>
            </w:r>
          </w:p>
          <w:p w14:paraId="675EB14F" w14:textId="77777777" w:rsidR="00D73F0F" w:rsidRPr="003C6CE9" w:rsidRDefault="00D73F0F" w:rsidP="00A47C20">
            <w:pPr>
              <w:rPr>
                <w:sz w:val="20"/>
                <w:szCs w:val="20"/>
              </w:rPr>
            </w:pPr>
            <w:r w:rsidRPr="003C6CE9">
              <w:rPr>
                <w:sz w:val="20"/>
                <w:szCs w:val="20"/>
              </w:rPr>
              <w:t xml:space="preserve">Good service delivery comprises quality, access, </w:t>
            </w:r>
            <w:proofErr w:type="gramStart"/>
            <w:r w:rsidRPr="003C6CE9">
              <w:rPr>
                <w:sz w:val="20"/>
                <w:szCs w:val="20"/>
              </w:rPr>
              <w:t>safety</w:t>
            </w:r>
            <w:proofErr w:type="gramEnd"/>
            <w:r w:rsidRPr="003C6CE9">
              <w:rPr>
                <w:sz w:val="20"/>
                <w:szCs w:val="20"/>
              </w:rPr>
              <w:t xml:space="preserve"> and coverage </w:t>
            </w:r>
            <w:r>
              <w:rPr>
                <w:noProof/>
                <w:sz w:val="20"/>
                <w:szCs w:val="20"/>
              </w:rPr>
              <w:t>[19]</w:t>
            </w:r>
            <w:r w:rsidRPr="003C6CE9">
              <w:rPr>
                <w:sz w:val="20"/>
                <w:szCs w:val="20"/>
              </w:rPr>
              <w:t>.</w:t>
            </w:r>
          </w:p>
          <w:p w14:paraId="675EB150" w14:textId="77777777" w:rsidR="00D73F0F" w:rsidRPr="003C6CE9" w:rsidRDefault="00D73F0F" w:rsidP="00A47C20">
            <w:pPr>
              <w:rPr>
                <w:sz w:val="20"/>
                <w:szCs w:val="20"/>
              </w:rPr>
            </w:pPr>
          </w:p>
        </w:tc>
      </w:tr>
      <w:tr w:rsidR="00D73F0F" w:rsidRPr="003C6CE9" w14:paraId="675EB154" w14:textId="77777777" w:rsidTr="00A47C20">
        <w:tc>
          <w:tcPr>
            <w:tcW w:w="4453" w:type="dxa"/>
            <w:shd w:val="clear" w:color="auto" w:fill="EEECE1" w:themeFill="background2"/>
          </w:tcPr>
          <w:p w14:paraId="675EB152" w14:textId="77777777" w:rsidR="00D73F0F" w:rsidRPr="003C6CE9" w:rsidRDefault="00D73F0F" w:rsidP="00A47C20">
            <w:pPr>
              <w:rPr>
                <w:rFonts w:eastAsia="Times New Roman" w:cs="Times New Roman"/>
                <w:b/>
                <w:bCs/>
                <w:sz w:val="20"/>
                <w:szCs w:val="20"/>
                <w:lang w:eastAsia="nl-BE"/>
              </w:rPr>
            </w:pPr>
            <w:r w:rsidRPr="003C6CE9">
              <w:rPr>
                <w:rFonts w:eastAsia="Times New Roman" w:cs="Times New Roman"/>
                <w:b/>
                <w:bCs/>
                <w:sz w:val="20"/>
                <w:szCs w:val="20"/>
                <w:lang w:eastAsia="nl-BE"/>
              </w:rPr>
              <w:lastRenderedPageBreak/>
              <w:t>2.1 Structural components</w:t>
            </w:r>
          </w:p>
        </w:tc>
        <w:tc>
          <w:tcPr>
            <w:tcW w:w="4563" w:type="dxa"/>
            <w:shd w:val="clear" w:color="auto" w:fill="EEECE1" w:themeFill="background2"/>
          </w:tcPr>
          <w:p w14:paraId="675EB153" w14:textId="77777777" w:rsidR="00D73F0F" w:rsidRPr="003C6CE9" w:rsidRDefault="00D73F0F" w:rsidP="00A47C20">
            <w:pPr>
              <w:rPr>
                <w:sz w:val="20"/>
                <w:szCs w:val="20"/>
              </w:rPr>
            </w:pPr>
            <w:r w:rsidRPr="003C6CE9">
              <w:rPr>
                <w:sz w:val="20"/>
                <w:szCs w:val="20"/>
              </w:rPr>
              <w:t xml:space="preserve">About </w:t>
            </w:r>
            <w:proofErr w:type="gramStart"/>
            <w:r w:rsidRPr="003C6CE9">
              <w:rPr>
                <w:sz w:val="20"/>
                <w:szCs w:val="20"/>
              </w:rPr>
              <w:t>structures;</w:t>
            </w:r>
            <w:proofErr w:type="gramEnd"/>
            <w:r w:rsidRPr="003C6CE9">
              <w:rPr>
                <w:sz w:val="20"/>
                <w:szCs w:val="20"/>
              </w:rPr>
              <w:t xml:space="preserve"> how the delivery system is structured</w:t>
            </w:r>
          </w:p>
        </w:tc>
      </w:tr>
      <w:tr w:rsidR="00D73F0F" w:rsidRPr="003C6CE9" w14:paraId="675EB158" w14:textId="77777777" w:rsidTr="00A47C20">
        <w:tc>
          <w:tcPr>
            <w:tcW w:w="4453" w:type="dxa"/>
          </w:tcPr>
          <w:p w14:paraId="675EB155" w14:textId="77777777" w:rsidR="00D73F0F" w:rsidRPr="003C6CE9" w:rsidRDefault="00D73F0F" w:rsidP="00A47C20">
            <w:pPr>
              <w:rPr>
                <w:rFonts w:eastAsia="Times New Roman" w:cs="Times New Roman"/>
                <w:b/>
                <w:bCs/>
                <w:color w:val="C00000"/>
                <w:sz w:val="20"/>
                <w:szCs w:val="20"/>
                <w:lang w:eastAsia="nl-BE"/>
              </w:rPr>
            </w:pPr>
            <w:r w:rsidRPr="003C6CE9">
              <w:rPr>
                <w:rFonts w:eastAsia="Times New Roman" w:cs="Times New Roman"/>
                <w:b/>
                <w:bCs/>
                <w:sz w:val="20"/>
                <w:szCs w:val="20"/>
                <w:lang w:eastAsia="nl-BE"/>
              </w:rPr>
              <w:t>2.1.1 Public-private mix</w:t>
            </w:r>
          </w:p>
        </w:tc>
        <w:tc>
          <w:tcPr>
            <w:tcW w:w="4563" w:type="dxa"/>
          </w:tcPr>
          <w:p w14:paraId="675EB156" w14:textId="77777777" w:rsidR="00D73F0F" w:rsidRPr="003C6CE9" w:rsidRDefault="00D73F0F" w:rsidP="00A47C20">
            <w:pPr>
              <w:rPr>
                <w:sz w:val="20"/>
                <w:szCs w:val="20"/>
              </w:rPr>
            </w:pPr>
            <w:r w:rsidRPr="003C6CE9">
              <w:rPr>
                <w:sz w:val="20"/>
                <w:szCs w:val="20"/>
              </w:rPr>
              <w:t>Healthcare can be provided in the public sector and/or in the private sector. Hence, there is usually a mix and this ratio, this reality, has certain implications.</w:t>
            </w:r>
          </w:p>
          <w:p w14:paraId="675EB157" w14:textId="77777777" w:rsidR="00D73F0F" w:rsidRPr="003C6CE9" w:rsidRDefault="00D73F0F" w:rsidP="00A47C20">
            <w:pPr>
              <w:rPr>
                <w:sz w:val="20"/>
                <w:szCs w:val="20"/>
              </w:rPr>
            </w:pPr>
          </w:p>
        </w:tc>
      </w:tr>
      <w:tr w:rsidR="00D73F0F" w:rsidRPr="003C6CE9" w14:paraId="675EB15B" w14:textId="77777777" w:rsidTr="00A47C20">
        <w:tc>
          <w:tcPr>
            <w:tcW w:w="4453" w:type="dxa"/>
          </w:tcPr>
          <w:p w14:paraId="675EB159" w14:textId="77777777" w:rsidR="00D73F0F" w:rsidRPr="003C6CE9" w:rsidRDefault="00D73F0F" w:rsidP="00A47C20">
            <w:pPr>
              <w:rPr>
                <w:rFonts w:eastAsia="Times New Roman" w:cs="Times New Roman"/>
                <w:b/>
                <w:bCs/>
                <w:sz w:val="20"/>
                <w:szCs w:val="20"/>
                <w:lang w:eastAsia="nl-BE"/>
              </w:rPr>
            </w:pPr>
            <w:r w:rsidRPr="003C6CE9">
              <w:rPr>
                <w:rFonts w:eastAsia="Times New Roman" w:cs="Times New Roman"/>
                <w:b/>
                <w:bCs/>
                <w:sz w:val="20"/>
                <w:szCs w:val="20"/>
                <w:lang w:eastAsia="nl-BE"/>
              </w:rPr>
              <w:t xml:space="preserve">2.1.2 Referral system </w:t>
            </w:r>
          </w:p>
        </w:tc>
        <w:tc>
          <w:tcPr>
            <w:tcW w:w="4563" w:type="dxa"/>
          </w:tcPr>
          <w:p w14:paraId="675EB15A" w14:textId="77777777" w:rsidR="00D73F0F" w:rsidRPr="003C6CE9" w:rsidRDefault="00D73F0F" w:rsidP="00A47C20">
            <w:pPr>
              <w:rPr>
                <w:sz w:val="20"/>
                <w:szCs w:val="20"/>
              </w:rPr>
            </w:pPr>
            <w:r w:rsidRPr="003C6CE9">
              <w:rPr>
                <w:sz w:val="20"/>
                <w:szCs w:val="20"/>
              </w:rPr>
              <w:t>The structure set up to direct a patient, requiring meso-level structural</w:t>
            </w:r>
            <w:r w:rsidRPr="003C6CE9">
              <w:rPr>
                <w:b/>
                <w:bCs/>
                <w:color w:val="C00000"/>
                <w:sz w:val="20"/>
                <w:szCs w:val="20"/>
              </w:rPr>
              <w:t xml:space="preserve"> </w:t>
            </w:r>
            <w:r w:rsidRPr="003C6CE9">
              <w:rPr>
                <w:sz w:val="20"/>
                <w:szCs w:val="20"/>
              </w:rPr>
              <w:t xml:space="preserve">coordination between care providers/organisations, </w:t>
            </w:r>
            <w:proofErr w:type="gramStart"/>
            <w:r w:rsidRPr="003C6CE9">
              <w:rPr>
                <w:sz w:val="20"/>
                <w:szCs w:val="20"/>
              </w:rPr>
              <w:t>e.g.</w:t>
            </w:r>
            <w:proofErr w:type="gramEnd"/>
            <w:r w:rsidRPr="003C6CE9">
              <w:rPr>
                <w:sz w:val="20"/>
                <w:szCs w:val="20"/>
              </w:rPr>
              <w:t xml:space="preserve"> from one level of care to another. Additionally, exploring the role of the </w:t>
            </w:r>
            <w:r w:rsidRPr="003C6CE9">
              <w:rPr>
                <w:i/>
                <w:iCs/>
                <w:sz w:val="20"/>
                <w:szCs w:val="20"/>
              </w:rPr>
              <w:t>GP having a gatekeeping function (or not)</w:t>
            </w:r>
            <w:r w:rsidRPr="003C6CE9">
              <w:rPr>
                <w:sz w:val="20"/>
                <w:szCs w:val="20"/>
              </w:rPr>
              <w:t>.</w:t>
            </w:r>
          </w:p>
        </w:tc>
      </w:tr>
      <w:tr w:rsidR="00D73F0F" w:rsidRPr="003C6CE9" w14:paraId="675EB160" w14:textId="77777777" w:rsidTr="00A47C20">
        <w:tc>
          <w:tcPr>
            <w:tcW w:w="4453" w:type="dxa"/>
          </w:tcPr>
          <w:p w14:paraId="675EB15C" w14:textId="77777777" w:rsidR="00D73F0F" w:rsidRPr="003C6CE9" w:rsidRDefault="00D73F0F" w:rsidP="001800A5">
            <w:pPr>
              <w:rPr>
                <w:rFonts w:eastAsia="Times New Roman" w:cs="Times New Roman"/>
                <w:b/>
                <w:bCs/>
                <w:sz w:val="20"/>
                <w:szCs w:val="20"/>
                <w:lang w:eastAsia="nl-BE"/>
              </w:rPr>
            </w:pPr>
            <w:r w:rsidRPr="003C6CE9">
              <w:rPr>
                <w:rFonts w:eastAsia="Times New Roman" w:cs="Times New Roman"/>
                <w:b/>
                <w:bCs/>
                <w:sz w:val="20"/>
                <w:szCs w:val="20"/>
                <w:lang w:eastAsia="nl-BE"/>
              </w:rPr>
              <w:t xml:space="preserve">2.1.3 Geographical coverage </w:t>
            </w:r>
            <w:r>
              <w:rPr>
                <w:rFonts w:eastAsia="Times New Roman" w:cs="Times New Roman"/>
                <w:bCs/>
                <w:noProof/>
                <w:sz w:val="20"/>
                <w:szCs w:val="20"/>
                <w:lang w:eastAsia="nl-BE"/>
              </w:rPr>
              <w:t>[20]</w:t>
            </w:r>
            <w:r w:rsidRPr="003C6CE9" w:rsidDel="00743401">
              <w:rPr>
                <w:rFonts w:eastAsia="Times New Roman" w:cs="Times New Roman"/>
                <w:b/>
                <w:bCs/>
                <w:sz w:val="20"/>
                <w:szCs w:val="20"/>
                <w:lang w:eastAsia="nl-BE"/>
              </w:rPr>
              <w:t xml:space="preserve"> </w:t>
            </w:r>
          </w:p>
        </w:tc>
        <w:tc>
          <w:tcPr>
            <w:tcW w:w="4563" w:type="dxa"/>
          </w:tcPr>
          <w:p w14:paraId="675EB15D" w14:textId="77777777" w:rsidR="00D73F0F" w:rsidRPr="003C6CE9" w:rsidRDefault="00D73F0F" w:rsidP="00A47C20">
            <w:pPr>
              <w:rPr>
                <w:sz w:val="20"/>
                <w:szCs w:val="20"/>
              </w:rPr>
            </w:pPr>
            <w:r w:rsidRPr="003C6CE9">
              <w:rPr>
                <w:sz w:val="20"/>
                <w:szCs w:val="20"/>
              </w:rPr>
              <w:t>Reflecting on the density of physicians/HCWs (and for example on rural vs urban differences)</w:t>
            </w:r>
          </w:p>
          <w:p w14:paraId="675EB15E" w14:textId="77777777" w:rsidR="00D73F0F" w:rsidRPr="003C6CE9" w:rsidRDefault="00D73F0F" w:rsidP="00A47C20">
            <w:pPr>
              <w:rPr>
                <w:sz w:val="20"/>
                <w:szCs w:val="20"/>
              </w:rPr>
            </w:pPr>
          </w:p>
          <w:p w14:paraId="675EB15F" w14:textId="77777777" w:rsidR="00D73F0F" w:rsidRPr="003C6CE9" w:rsidRDefault="00D73F0F" w:rsidP="001800A5">
            <w:pPr>
              <w:rPr>
                <w:sz w:val="20"/>
                <w:szCs w:val="20"/>
                <w:highlight w:val="yellow"/>
              </w:rPr>
            </w:pPr>
            <w:r w:rsidRPr="003C6CE9">
              <w:rPr>
                <w:sz w:val="20"/>
                <w:szCs w:val="20"/>
              </w:rPr>
              <w:t xml:space="preserve">Coverage: Service delivery is designed so that all people in a defined target population are covered, </w:t>
            </w:r>
            <w:proofErr w:type="gramStart"/>
            <w:r w:rsidRPr="003C6CE9">
              <w:rPr>
                <w:sz w:val="20"/>
                <w:szCs w:val="20"/>
              </w:rPr>
              <w:t>i.e.</w:t>
            </w:r>
            <w:proofErr w:type="gramEnd"/>
            <w:r w:rsidRPr="003C6CE9">
              <w:rPr>
                <w:sz w:val="20"/>
                <w:szCs w:val="20"/>
              </w:rPr>
              <w:t xml:space="preserve"> the sick and the healthy, all income groups and all social groups</w:t>
            </w:r>
            <w:r>
              <w:rPr>
                <w:sz w:val="20"/>
                <w:szCs w:val="20"/>
              </w:rPr>
              <w:t xml:space="preserve"> </w:t>
            </w:r>
            <w:r>
              <w:rPr>
                <w:noProof/>
                <w:sz w:val="20"/>
                <w:szCs w:val="20"/>
              </w:rPr>
              <w:t>[1]</w:t>
            </w:r>
            <w:r w:rsidRPr="003C6CE9">
              <w:rPr>
                <w:sz w:val="20"/>
                <w:szCs w:val="20"/>
              </w:rPr>
              <w:t xml:space="preserve">. </w:t>
            </w:r>
          </w:p>
        </w:tc>
      </w:tr>
      <w:tr w:rsidR="00D73F0F" w:rsidRPr="003C6CE9" w14:paraId="675EB163" w14:textId="77777777" w:rsidTr="00A47C20">
        <w:tc>
          <w:tcPr>
            <w:tcW w:w="4453" w:type="dxa"/>
            <w:shd w:val="clear" w:color="auto" w:fill="EEECE1" w:themeFill="background2"/>
          </w:tcPr>
          <w:p w14:paraId="675EB161" w14:textId="77777777" w:rsidR="00D73F0F" w:rsidRPr="003C6CE9" w:rsidRDefault="00D73F0F" w:rsidP="00A47C20">
            <w:pPr>
              <w:rPr>
                <w:rFonts w:eastAsia="Times New Roman" w:cs="Times New Roman"/>
                <w:b/>
                <w:bCs/>
                <w:sz w:val="20"/>
                <w:szCs w:val="20"/>
                <w:lang w:eastAsia="nl-BE"/>
              </w:rPr>
            </w:pPr>
            <w:r w:rsidRPr="003C6CE9">
              <w:rPr>
                <w:rFonts w:eastAsia="Times New Roman" w:cs="Times New Roman"/>
                <w:b/>
                <w:bCs/>
                <w:sz w:val="20"/>
                <w:szCs w:val="20"/>
                <w:lang w:eastAsia="nl-BE"/>
              </w:rPr>
              <w:t>2.2 Organisational components</w:t>
            </w:r>
          </w:p>
        </w:tc>
        <w:tc>
          <w:tcPr>
            <w:tcW w:w="4563" w:type="dxa"/>
            <w:shd w:val="clear" w:color="auto" w:fill="EEECE1" w:themeFill="background2"/>
          </w:tcPr>
          <w:p w14:paraId="675EB162" w14:textId="77777777" w:rsidR="00D73F0F" w:rsidRPr="003C6CE9" w:rsidRDefault="00D73F0F" w:rsidP="00A47C20">
            <w:pPr>
              <w:rPr>
                <w:sz w:val="20"/>
                <w:szCs w:val="20"/>
              </w:rPr>
            </w:pPr>
            <w:r w:rsidRPr="003C6CE9">
              <w:rPr>
                <w:sz w:val="20"/>
                <w:szCs w:val="20"/>
              </w:rPr>
              <w:t xml:space="preserve">About </w:t>
            </w:r>
            <w:proofErr w:type="gramStart"/>
            <w:r w:rsidRPr="003C6CE9">
              <w:rPr>
                <w:sz w:val="20"/>
                <w:szCs w:val="20"/>
              </w:rPr>
              <w:t>processes;</w:t>
            </w:r>
            <w:proofErr w:type="gramEnd"/>
            <w:r w:rsidRPr="003C6CE9">
              <w:rPr>
                <w:sz w:val="20"/>
                <w:szCs w:val="20"/>
              </w:rPr>
              <w:t xml:space="preserve"> how (micro-level) care is organised and characterised</w:t>
            </w:r>
          </w:p>
        </w:tc>
      </w:tr>
      <w:tr w:rsidR="00D73F0F" w:rsidRPr="003C6CE9" w14:paraId="675EB166" w14:textId="77777777" w:rsidTr="00A47C20">
        <w:tc>
          <w:tcPr>
            <w:tcW w:w="4453" w:type="dxa"/>
          </w:tcPr>
          <w:p w14:paraId="675EB164" w14:textId="77777777" w:rsidR="00D73F0F" w:rsidRPr="003C6CE9" w:rsidRDefault="00D73F0F" w:rsidP="00A47C20">
            <w:pPr>
              <w:rPr>
                <w:rFonts w:eastAsia="Times New Roman" w:cs="Times New Roman"/>
                <w:b/>
                <w:bCs/>
                <w:strike/>
                <w:sz w:val="20"/>
                <w:szCs w:val="20"/>
                <w:lang w:eastAsia="nl-BE"/>
              </w:rPr>
            </w:pPr>
            <w:r w:rsidRPr="003C6CE9">
              <w:rPr>
                <w:rFonts w:eastAsia="Times New Roman" w:cs="Times New Roman"/>
                <w:b/>
                <w:bCs/>
                <w:sz w:val="20"/>
                <w:szCs w:val="20"/>
                <w:lang w:eastAsia="nl-BE"/>
              </w:rPr>
              <w:t>2.2.1 Quality of service</w:t>
            </w:r>
            <w:r w:rsidRPr="003C6CE9">
              <w:rPr>
                <w:rFonts w:eastAsia="Times New Roman" w:cs="Times New Roman"/>
                <w:b/>
                <w:bCs/>
                <w:sz w:val="20"/>
                <w:szCs w:val="20"/>
                <w:lang w:eastAsia="nl-BE"/>
              </w:rPr>
              <w:tab/>
            </w:r>
          </w:p>
        </w:tc>
        <w:tc>
          <w:tcPr>
            <w:tcW w:w="4563" w:type="dxa"/>
          </w:tcPr>
          <w:p w14:paraId="675EB165" w14:textId="77777777" w:rsidR="00D73F0F" w:rsidRPr="003C6CE9" w:rsidRDefault="00D73F0F" w:rsidP="001800A5">
            <w:pPr>
              <w:rPr>
                <w:strike/>
                <w:sz w:val="20"/>
                <w:szCs w:val="20"/>
                <w:highlight w:val="yellow"/>
              </w:rPr>
            </w:pPr>
            <w:r w:rsidRPr="003C6CE9">
              <w:rPr>
                <w:sz w:val="20"/>
                <w:szCs w:val="20"/>
              </w:rPr>
              <w:t xml:space="preserve">“The extent to which healthcare services provided to individuals and patient populations improve desired health outcomes” – outlining safety, effectiveness, timeliness, efficiency, equity, and people-centredness of health services are integral to achieving quality </w:t>
            </w:r>
            <w:r>
              <w:rPr>
                <w:noProof/>
                <w:sz w:val="20"/>
                <w:szCs w:val="20"/>
              </w:rPr>
              <w:t>[21, 22]</w:t>
            </w:r>
            <w:r>
              <w:rPr>
                <w:sz w:val="20"/>
                <w:szCs w:val="20"/>
              </w:rPr>
              <w:t>.</w:t>
            </w:r>
          </w:p>
        </w:tc>
      </w:tr>
      <w:tr w:rsidR="00D73F0F" w:rsidRPr="003C6CE9" w14:paraId="675EB169" w14:textId="77777777" w:rsidTr="00A47C20">
        <w:tc>
          <w:tcPr>
            <w:tcW w:w="4453" w:type="dxa"/>
          </w:tcPr>
          <w:p w14:paraId="675EB167" w14:textId="77777777" w:rsidR="00D73F0F" w:rsidRPr="003C6CE9" w:rsidRDefault="00D73F0F" w:rsidP="00A47C20">
            <w:pPr>
              <w:rPr>
                <w:rFonts w:eastAsia="Times New Roman" w:cs="Times New Roman"/>
                <w:b/>
                <w:bCs/>
                <w:sz w:val="20"/>
                <w:szCs w:val="20"/>
                <w:lang w:eastAsia="nl-BE"/>
              </w:rPr>
            </w:pPr>
            <w:r w:rsidRPr="003C6CE9">
              <w:rPr>
                <w:rFonts w:eastAsia="Times New Roman" w:cs="Times New Roman"/>
                <w:b/>
                <w:bCs/>
                <w:sz w:val="20"/>
                <w:szCs w:val="20"/>
                <w:lang w:eastAsia="nl-BE"/>
              </w:rPr>
              <w:t>2.2.2 Supervision and monitoring</w:t>
            </w:r>
          </w:p>
        </w:tc>
        <w:tc>
          <w:tcPr>
            <w:tcW w:w="4563" w:type="dxa"/>
          </w:tcPr>
          <w:p w14:paraId="675EB168" w14:textId="77777777" w:rsidR="00D73F0F" w:rsidRPr="003C6CE9" w:rsidRDefault="00D73F0F" w:rsidP="00A47C20">
            <w:pPr>
              <w:rPr>
                <w:sz w:val="20"/>
                <w:szCs w:val="20"/>
              </w:rPr>
            </w:pPr>
            <w:r w:rsidRPr="003C6CE9">
              <w:rPr>
                <w:sz w:val="20"/>
                <w:szCs w:val="20"/>
              </w:rPr>
              <w:t>Is about how to ensure accountability at organisational level. Supervision (2.2.2) can come from a higher administration level, while coordination of care (2.2.3) could come from health facility or community level. Monitoring (2.2.2) can be linked to feedback and evaluation mechanisms, but also population management (when data is aggravated).</w:t>
            </w:r>
          </w:p>
        </w:tc>
      </w:tr>
      <w:tr w:rsidR="00D73F0F" w:rsidRPr="003C6CE9" w14:paraId="675EB16E" w14:textId="77777777" w:rsidTr="00A47C20">
        <w:tc>
          <w:tcPr>
            <w:tcW w:w="4453" w:type="dxa"/>
          </w:tcPr>
          <w:p w14:paraId="675EB16A" w14:textId="77777777" w:rsidR="00D73F0F" w:rsidRPr="003C6CE9" w:rsidRDefault="00D73F0F" w:rsidP="00A47C20">
            <w:pPr>
              <w:rPr>
                <w:rFonts w:eastAsia="Times New Roman" w:cs="Times New Roman"/>
                <w:b/>
                <w:bCs/>
                <w:sz w:val="20"/>
                <w:szCs w:val="20"/>
                <w:lang w:eastAsia="nl-BE"/>
              </w:rPr>
            </w:pPr>
            <w:r w:rsidRPr="003C6CE9">
              <w:rPr>
                <w:rFonts w:eastAsia="Times New Roman" w:cs="Times New Roman"/>
                <w:b/>
                <w:bCs/>
                <w:sz w:val="20"/>
                <w:szCs w:val="20"/>
                <w:lang w:eastAsia="nl-BE"/>
              </w:rPr>
              <w:t xml:space="preserve">2.2.3 </w:t>
            </w:r>
            <w:r w:rsidRPr="003C6CE9">
              <w:rPr>
                <w:rFonts w:eastAsia="Times New Roman" w:cs="Times New Roman"/>
                <w:b/>
                <w:bCs/>
                <w:sz w:val="20"/>
                <w:szCs w:val="20"/>
                <w:u w:val="single"/>
                <w:lang w:eastAsia="nl-BE"/>
              </w:rPr>
              <w:t>Coordination of care</w:t>
            </w:r>
            <w:r w:rsidRPr="003C6CE9">
              <w:rPr>
                <w:rFonts w:eastAsia="Times New Roman" w:cs="Times New Roman"/>
                <w:b/>
                <w:bCs/>
                <w:sz w:val="20"/>
                <w:szCs w:val="20"/>
                <w:lang w:eastAsia="nl-BE"/>
              </w:rPr>
              <w:t xml:space="preserve"> </w:t>
            </w:r>
            <w:r w:rsidRPr="003C6CE9">
              <w:rPr>
                <w:rFonts w:cs="Times New Roman"/>
                <w:b/>
                <w:bCs/>
                <w:sz w:val="20"/>
                <w:szCs w:val="20"/>
              </w:rPr>
              <w:t>and multi-level communication/coordination between HCWs</w:t>
            </w:r>
          </w:p>
        </w:tc>
        <w:tc>
          <w:tcPr>
            <w:tcW w:w="4563" w:type="dxa"/>
          </w:tcPr>
          <w:p w14:paraId="675EB16B" w14:textId="77777777" w:rsidR="00D73F0F" w:rsidRPr="003C6CE9" w:rsidRDefault="00D73F0F" w:rsidP="00A47C20">
            <w:pPr>
              <w:rPr>
                <w:color w:val="C00000"/>
                <w:sz w:val="20"/>
                <w:szCs w:val="20"/>
              </w:rPr>
            </w:pPr>
            <w:r w:rsidRPr="003C6CE9">
              <w:rPr>
                <w:sz w:val="20"/>
                <w:szCs w:val="20"/>
              </w:rPr>
              <w:t xml:space="preserve">Micro-level coordination, around the patient, for “a functioning trans-sectoral care that interlocks all involved healthcare providers” </w:t>
            </w:r>
            <w:r>
              <w:rPr>
                <w:noProof/>
                <w:sz w:val="20"/>
                <w:szCs w:val="20"/>
              </w:rPr>
              <w:t>[23]</w:t>
            </w:r>
            <w:r w:rsidRPr="003C6CE9">
              <w:rPr>
                <w:sz w:val="20"/>
                <w:szCs w:val="20"/>
              </w:rPr>
              <w:t>. This coordination is also requiring meso-level communication and coordination (between HCWs across disciplines and at different levels) and possibly patient referral (2.1.2).</w:t>
            </w:r>
          </w:p>
          <w:p w14:paraId="675EB16C" w14:textId="77777777" w:rsidR="00D73F0F" w:rsidRPr="003C6CE9" w:rsidRDefault="00D73F0F" w:rsidP="00A47C20">
            <w:pPr>
              <w:rPr>
                <w:sz w:val="20"/>
                <w:szCs w:val="20"/>
              </w:rPr>
            </w:pPr>
          </w:p>
          <w:p w14:paraId="675EB16D" w14:textId="77777777" w:rsidR="00D73F0F" w:rsidRPr="003C6CE9" w:rsidRDefault="00D73F0F" w:rsidP="001800A5">
            <w:pPr>
              <w:rPr>
                <w:sz w:val="20"/>
                <w:szCs w:val="20"/>
              </w:rPr>
            </w:pPr>
            <w:r w:rsidRPr="003C6CE9">
              <w:rPr>
                <w:sz w:val="20"/>
                <w:szCs w:val="20"/>
              </w:rPr>
              <w:t xml:space="preserve">Local area health service networks are actively coordinated, across types of </w:t>
            </w:r>
            <w:proofErr w:type="gramStart"/>
            <w:r w:rsidRPr="003C6CE9">
              <w:rPr>
                <w:sz w:val="20"/>
                <w:szCs w:val="20"/>
              </w:rPr>
              <w:t>provider</w:t>
            </w:r>
            <w:proofErr w:type="gramEnd"/>
            <w:r w:rsidRPr="003C6CE9">
              <w:rPr>
                <w:sz w:val="20"/>
                <w:szCs w:val="20"/>
              </w:rPr>
              <w:t xml:space="preserve">, types of care, levels of service delivery, and for both routine and emergency preparedness. The patient’s primary care provider facilitates the route through the needed </w:t>
            </w:r>
            <w:proofErr w:type="gramStart"/>
            <w:r w:rsidRPr="003C6CE9">
              <w:rPr>
                <w:sz w:val="20"/>
                <w:szCs w:val="20"/>
              </w:rPr>
              <w:t>services, and</w:t>
            </w:r>
            <w:proofErr w:type="gramEnd"/>
            <w:r w:rsidRPr="003C6CE9">
              <w:rPr>
                <w:sz w:val="20"/>
                <w:szCs w:val="20"/>
              </w:rPr>
              <w:t xml:space="preserve"> works in collaboration with other levels and types of provider. Coordination also takes place </w:t>
            </w:r>
            <w:r w:rsidRPr="003C6CE9">
              <w:rPr>
                <w:sz w:val="20"/>
                <w:szCs w:val="20"/>
              </w:rPr>
              <w:lastRenderedPageBreak/>
              <w:t>with other sectors (</w:t>
            </w:r>
            <w:proofErr w:type="gramStart"/>
            <w:r w:rsidRPr="003C6CE9">
              <w:rPr>
                <w:sz w:val="20"/>
                <w:szCs w:val="20"/>
              </w:rPr>
              <w:t>e.g.</w:t>
            </w:r>
            <w:proofErr w:type="gramEnd"/>
            <w:r w:rsidRPr="003C6CE9">
              <w:rPr>
                <w:sz w:val="20"/>
                <w:szCs w:val="20"/>
              </w:rPr>
              <w:t xml:space="preserve"> social services) and partners (e.g. community organizations)</w:t>
            </w:r>
            <w:r>
              <w:rPr>
                <w:sz w:val="20"/>
                <w:szCs w:val="20"/>
              </w:rPr>
              <w:t xml:space="preserve"> </w:t>
            </w:r>
            <w:r>
              <w:rPr>
                <w:noProof/>
                <w:sz w:val="20"/>
                <w:szCs w:val="20"/>
              </w:rPr>
              <w:t>[1]</w:t>
            </w:r>
            <w:r w:rsidRPr="003C6CE9">
              <w:rPr>
                <w:sz w:val="20"/>
                <w:szCs w:val="20"/>
              </w:rPr>
              <w:t xml:space="preserve">. </w:t>
            </w:r>
          </w:p>
        </w:tc>
      </w:tr>
      <w:tr w:rsidR="00D73F0F" w:rsidRPr="003C6CE9" w14:paraId="675EB171" w14:textId="77777777" w:rsidTr="00A47C20">
        <w:tc>
          <w:tcPr>
            <w:tcW w:w="4453" w:type="dxa"/>
          </w:tcPr>
          <w:p w14:paraId="675EB16F" w14:textId="77777777" w:rsidR="00D73F0F" w:rsidRPr="003C6CE9" w:rsidRDefault="00D73F0F" w:rsidP="00A47C20">
            <w:pPr>
              <w:rPr>
                <w:rFonts w:eastAsia="Times New Roman" w:cs="Times New Roman"/>
                <w:b/>
                <w:bCs/>
                <w:sz w:val="20"/>
                <w:szCs w:val="20"/>
                <w:lang w:eastAsia="nl-BE"/>
              </w:rPr>
            </w:pPr>
            <w:r w:rsidRPr="003C6CE9">
              <w:rPr>
                <w:rFonts w:eastAsia="Times New Roman" w:cs="Times New Roman"/>
                <w:b/>
                <w:bCs/>
                <w:sz w:val="20"/>
                <w:szCs w:val="20"/>
                <w:lang w:eastAsia="nl-BE"/>
              </w:rPr>
              <w:lastRenderedPageBreak/>
              <w:t>2.2.4 Access to care (to integrated PHC)</w:t>
            </w:r>
          </w:p>
        </w:tc>
        <w:tc>
          <w:tcPr>
            <w:tcW w:w="4563" w:type="dxa"/>
          </w:tcPr>
          <w:p w14:paraId="675EB170" w14:textId="77777777" w:rsidR="00D73F0F" w:rsidRPr="003C6CE9" w:rsidRDefault="00D73F0F" w:rsidP="001800A5">
            <w:pPr>
              <w:rPr>
                <w:sz w:val="20"/>
                <w:szCs w:val="20"/>
              </w:rPr>
            </w:pPr>
            <w:r w:rsidRPr="003C6CE9">
              <w:rPr>
                <w:sz w:val="20"/>
                <w:szCs w:val="20"/>
              </w:rPr>
              <w:t>Services are directly and permanently accessible with no undue barriers of cost, language, culture, or geography. Health services are close to the people, with a routine point of entry to the service network at primary care level (not at the specialist or hospital level). Services may be provided in the home, the community, the workplace, or health facilities as appropriate</w:t>
            </w:r>
            <w:r>
              <w:rPr>
                <w:sz w:val="20"/>
                <w:szCs w:val="20"/>
              </w:rPr>
              <w:t xml:space="preserve"> </w:t>
            </w:r>
            <w:r>
              <w:rPr>
                <w:noProof/>
                <w:sz w:val="20"/>
                <w:szCs w:val="20"/>
              </w:rPr>
              <w:t>[1]</w:t>
            </w:r>
            <w:r w:rsidRPr="003C6CE9">
              <w:rPr>
                <w:sz w:val="20"/>
                <w:szCs w:val="20"/>
              </w:rPr>
              <w:t xml:space="preserve">. </w:t>
            </w:r>
          </w:p>
        </w:tc>
      </w:tr>
      <w:tr w:rsidR="00D73F0F" w:rsidRPr="003C6CE9" w14:paraId="675EB174" w14:textId="77777777" w:rsidTr="00A47C20">
        <w:tc>
          <w:tcPr>
            <w:tcW w:w="4453" w:type="dxa"/>
          </w:tcPr>
          <w:p w14:paraId="675EB172" w14:textId="77777777" w:rsidR="00D73F0F" w:rsidRPr="003C6CE9" w:rsidRDefault="00D73F0F" w:rsidP="001800A5">
            <w:pPr>
              <w:rPr>
                <w:rFonts w:eastAsia="Times New Roman" w:cs="Times New Roman"/>
                <w:b/>
                <w:bCs/>
                <w:color w:val="FF0000"/>
                <w:sz w:val="20"/>
                <w:szCs w:val="20"/>
                <w:lang w:eastAsia="nl-BE"/>
              </w:rPr>
            </w:pPr>
            <w:r w:rsidRPr="003C6CE9">
              <w:rPr>
                <w:rFonts w:eastAsia="Times New Roman" w:cs="Times New Roman"/>
                <w:b/>
                <w:bCs/>
                <w:sz w:val="20"/>
                <w:szCs w:val="20"/>
                <w:lang w:eastAsia="nl-BE"/>
              </w:rPr>
              <w:t xml:space="preserve">2.2.5 Patient centeredness </w:t>
            </w:r>
            <w:r>
              <w:rPr>
                <w:rFonts w:eastAsia="Times New Roman" w:cs="Times New Roman"/>
                <w:b/>
                <w:bCs/>
                <w:noProof/>
                <w:sz w:val="20"/>
                <w:szCs w:val="20"/>
                <w:lang w:eastAsia="nl-BE"/>
              </w:rPr>
              <w:t>[20]</w:t>
            </w:r>
            <w:r w:rsidRPr="003C6CE9">
              <w:rPr>
                <w:rFonts w:eastAsia="Times New Roman" w:cs="Times New Roman"/>
                <w:b/>
                <w:bCs/>
                <w:sz w:val="20"/>
                <w:szCs w:val="20"/>
                <w:lang w:eastAsia="nl-BE"/>
              </w:rPr>
              <w:t xml:space="preserve">; Person-centeredness </w:t>
            </w:r>
            <w:r>
              <w:rPr>
                <w:rFonts w:eastAsia="Times New Roman" w:cs="Times New Roman"/>
                <w:b/>
                <w:bCs/>
                <w:noProof/>
                <w:sz w:val="20"/>
                <w:szCs w:val="20"/>
                <w:lang w:eastAsia="nl-BE"/>
              </w:rPr>
              <w:t>[22]</w:t>
            </w:r>
            <w:r w:rsidRPr="003C6CE9" w:rsidDel="00743401">
              <w:rPr>
                <w:rFonts w:eastAsia="Times New Roman" w:cs="Times New Roman"/>
                <w:b/>
                <w:bCs/>
                <w:sz w:val="20"/>
                <w:szCs w:val="20"/>
                <w:lang w:eastAsia="nl-BE"/>
              </w:rPr>
              <w:t xml:space="preserve"> </w:t>
            </w:r>
          </w:p>
        </w:tc>
        <w:tc>
          <w:tcPr>
            <w:tcW w:w="4563" w:type="dxa"/>
          </w:tcPr>
          <w:p w14:paraId="675EB173" w14:textId="77777777" w:rsidR="00D73F0F" w:rsidRPr="003C6CE9" w:rsidRDefault="00D73F0F" w:rsidP="001800A5">
            <w:pPr>
              <w:rPr>
                <w:sz w:val="20"/>
                <w:szCs w:val="20"/>
              </w:rPr>
            </w:pPr>
            <w:r w:rsidRPr="003C6CE9">
              <w:rPr>
                <w:sz w:val="20"/>
                <w:szCs w:val="20"/>
              </w:rPr>
              <w:t>Services are organi</w:t>
            </w:r>
            <w:r>
              <w:rPr>
                <w:sz w:val="20"/>
                <w:szCs w:val="20"/>
              </w:rPr>
              <w:t>s</w:t>
            </w:r>
            <w:r w:rsidRPr="003C6CE9">
              <w:rPr>
                <w:sz w:val="20"/>
                <w:szCs w:val="20"/>
              </w:rPr>
              <w:t>ed around the person, not the disease or the financing. Users perceive health services to be responsive and acceptable to them. There is participation from the target population in service delivery design and assessment. People are partners in their own healthcare</w:t>
            </w:r>
            <w:r>
              <w:rPr>
                <w:sz w:val="20"/>
                <w:szCs w:val="20"/>
              </w:rPr>
              <w:t xml:space="preserve"> </w:t>
            </w:r>
            <w:r>
              <w:rPr>
                <w:noProof/>
                <w:sz w:val="20"/>
                <w:szCs w:val="20"/>
              </w:rPr>
              <w:t>[1]</w:t>
            </w:r>
            <w:r w:rsidRPr="003C6CE9">
              <w:rPr>
                <w:sz w:val="20"/>
                <w:szCs w:val="20"/>
              </w:rPr>
              <w:t xml:space="preserve">. </w:t>
            </w:r>
          </w:p>
        </w:tc>
      </w:tr>
      <w:tr w:rsidR="00D73F0F" w:rsidRPr="003C6CE9" w14:paraId="675EB177" w14:textId="77777777" w:rsidTr="00A47C20">
        <w:tc>
          <w:tcPr>
            <w:tcW w:w="4453" w:type="dxa"/>
          </w:tcPr>
          <w:p w14:paraId="675EB175" w14:textId="77777777" w:rsidR="00D73F0F" w:rsidRPr="003C6CE9" w:rsidRDefault="00D73F0F" w:rsidP="001800A5">
            <w:pPr>
              <w:rPr>
                <w:rFonts w:eastAsia="Times New Roman" w:cs="Times New Roman"/>
                <w:b/>
                <w:bCs/>
                <w:sz w:val="20"/>
                <w:szCs w:val="20"/>
                <w:lang w:eastAsia="nl-BE"/>
              </w:rPr>
            </w:pPr>
            <w:r w:rsidRPr="003C6CE9">
              <w:rPr>
                <w:rFonts w:eastAsia="Times New Roman" w:cs="Times New Roman"/>
                <w:b/>
                <w:bCs/>
                <w:sz w:val="20"/>
                <w:szCs w:val="20"/>
                <w:lang w:eastAsia="nl-BE"/>
              </w:rPr>
              <w:t xml:space="preserve">2.2.6 Comprehensive services across the continuum of care </w:t>
            </w:r>
            <w:r>
              <w:rPr>
                <w:rFonts w:eastAsia="Times New Roman" w:cs="Times New Roman"/>
                <w:b/>
                <w:bCs/>
                <w:noProof/>
                <w:sz w:val="20"/>
                <w:szCs w:val="20"/>
                <w:lang w:eastAsia="nl-BE"/>
              </w:rPr>
              <w:t>[20]</w:t>
            </w:r>
            <w:r w:rsidRPr="003C6CE9">
              <w:rPr>
                <w:rFonts w:eastAsia="Times New Roman" w:cs="Times New Roman"/>
                <w:b/>
                <w:bCs/>
                <w:sz w:val="20"/>
                <w:szCs w:val="20"/>
                <w:lang w:eastAsia="nl-BE"/>
              </w:rPr>
              <w:t xml:space="preserve"> (including role of preventive programmes)</w:t>
            </w:r>
          </w:p>
        </w:tc>
        <w:tc>
          <w:tcPr>
            <w:tcW w:w="4563" w:type="dxa"/>
          </w:tcPr>
          <w:p w14:paraId="675EB176" w14:textId="77777777" w:rsidR="00D73F0F" w:rsidRPr="003C6CE9" w:rsidRDefault="00D73F0F" w:rsidP="001800A5">
            <w:pPr>
              <w:rPr>
                <w:sz w:val="20"/>
                <w:szCs w:val="20"/>
              </w:rPr>
            </w:pPr>
            <w:r w:rsidRPr="003C6CE9">
              <w:rPr>
                <w:sz w:val="20"/>
                <w:szCs w:val="20"/>
              </w:rPr>
              <w:t xml:space="preserve">Capturing the adequacy and continuity of transitional care within and between acute care, primary care, and different community care services and settings/sectors </w:t>
            </w:r>
            <w:r>
              <w:rPr>
                <w:noProof/>
                <w:sz w:val="20"/>
                <w:szCs w:val="20"/>
              </w:rPr>
              <w:t>[20]</w:t>
            </w:r>
            <w:r w:rsidRPr="003C6CE9">
              <w:rPr>
                <w:rFonts w:eastAsia="Times New Roman" w:cs="Times New Roman"/>
                <w:sz w:val="20"/>
                <w:szCs w:val="20"/>
                <w:lang w:eastAsia="nl-BE"/>
              </w:rPr>
              <w:t>.</w:t>
            </w:r>
          </w:p>
        </w:tc>
      </w:tr>
      <w:tr w:rsidR="00D73F0F" w:rsidRPr="003C6CE9" w14:paraId="675EB17A" w14:textId="77777777" w:rsidTr="00A47C20">
        <w:tc>
          <w:tcPr>
            <w:tcW w:w="4453" w:type="dxa"/>
          </w:tcPr>
          <w:p w14:paraId="675EB178" w14:textId="77777777" w:rsidR="00D73F0F" w:rsidRPr="003C6CE9" w:rsidRDefault="00D73F0F" w:rsidP="001800A5">
            <w:pPr>
              <w:tabs>
                <w:tab w:val="right" w:pos="4237"/>
              </w:tabs>
              <w:rPr>
                <w:rFonts w:eastAsia="Times New Roman" w:cs="Times New Roman"/>
                <w:b/>
                <w:bCs/>
                <w:sz w:val="20"/>
                <w:szCs w:val="20"/>
                <w:lang w:eastAsia="nl-BE"/>
              </w:rPr>
            </w:pPr>
            <w:r w:rsidRPr="003C6CE9">
              <w:rPr>
                <w:rFonts w:eastAsia="Times New Roman" w:cs="Times New Roman"/>
                <w:b/>
                <w:bCs/>
                <w:sz w:val="20"/>
                <w:szCs w:val="20"/>
                <w:lang w:eastAsia="nl-BE"/>
              </w:rPr>
              <w:t xml:space="preserve">2.2.7 Interprofessional teams </w:t>
            </w:r>
            <w:r>
              <w:rPr>
                <w:rFonts w:eastAsia="Times New Roman" w:cs="Times New Roman"/>
                <w:b/>
                <w:bCs/>
                <w:noProof/>
                <w:sz w:val="20"/>
                <w:szCs w:val="20"/>
                <w:lang w:eastAsia="nl-BE"/>
              </w:rPr>
              <w:t>[20]</w:t>
            </w:r>
            <w:r w:rsidRPr="003C6CE9">
              <w:rPr>
                <w:rFonts w:eastAsia="Times New Roman" w:cs="Times New Roman"/>
                <w:b/>
                <w:bCs/>
                <w:sz w:val="20"/>
                <w:szCs w:val="20"/>
                <w:lang w:eastAsia="nl-BE"/>
              </w:rPr>
              <w:t xml:space="preserve"> </w:t>
            </w:r>
          </w:p>
        </w:tc>
        <w:tc>
          <w:tcPr>
            <w:tcW w:w="4563" w:type="dxa"/>
          </w:tcPr>
          <w:p w14:paraId="675EB179" w14:textId="77777777" w:rsidR="00D73F0F" w:rsidRPr="003C6CE9" w:rsidRDefault="00D73F0F" w:rsidP="001800A5">
            <w:pPr>
              <w:rPr>
                <w:sz w:val="20"/>
                <w:szCs w:val="20"/>
              </w:rPr>
            </w:pPr>
            <w:r w:rsidRPr="003C6CE9">
              <w:rPr>
                <w:sz w:val="20"/>
                <w:szCs w:val="20"/>
              </w:rPr>
              <w:t xml:space="preserve">Looking into team effectiveness, HCWs involved in integrated health systems </w:t>
            </w:r>
            <w:r>
              <w:rPr>
                <w:noProof/>
                <w:sz w:val="20"/>
                <w:szCs w:val="20"/>
              </w:rPr>
              <w:t>[20]</w:t>
            </w:r>
            <w:r w:rsidRPr="003C6CE9">
              <w:rPr>
                <w:rFonts w:eastAsia="Times New Roman" w:cs="Times New Roman"/>
                <w:sz w:val="20"/>
                <w:szCs w:val="20"/>
                <w:lang w:eastAsia="nl-BE"/>
              </w:rPr>
              <w:t>.</w:t>
            </w:r>
          </w:p>
        </w:tc>
      </w:tr>
      <w:tr w:rsidR="00D73F0F" w:rsidRPr="003C6CE9" w14:paraId="675EB17D" w14:textId="77777777" w:rsidTr="00A47C20">
        <w:tc>
          <w:tcPr>
            <w:tcW w:w="4453" w:type="dxa"/>
          </w:tcPr>
          <w:p w14:paraId="675EB17B" w14:textId="77777777" w:rsidR="00D73F0F" w:rsidRPr="003C6CE9" w:rsidRDefault="00D73F0F" w:rsidP="001800A5">
            <w:pPr>
              <w:tabs>
                <w:tab w:val="right" w:pos="4237"/>
              </w:tabs>
              <w:rPr>
                <w:rFonts w:eastAsia="Times New Roman" w:cs="Times New Roman"/>
                <w:b/>
                <w:bCs/>
                <w:color w:val="C00000"/>
                <w:sz w:val="20"/>
                <w:szCs w:val="20"/>
                <w:lang w:eastAsia="nl-BE"/>
              </w:rPr>
            </w:pPr>
            <w:r w:rsidRPr="003C6CE9">
              <w:rPr>
                <w:rFonts w:eastAsia="Times New Roman" w:cs="Times New Roman"/>
                <w:b/>
                <w:bCs/>
                <w:sz w:val="20"/>
                <w:szCs w:val="20"/>
                <w:lang w:eastAsia="nl-BE"/>
              </w:rPr>
              <w:t xml:space="preserve">2.2.8 Organisational culture </w:t>
            </w:r>
            <w:r>
              <w:rPr>
                <w:rFonts w:eastAsia="Times New Roman" w:cs="Times New Roman"/>
                <w:b/>
                <w:bCs/>
                <w:noProof/>
                <w:sz w:val="20"/>
                <w:szCs w:val="20"/>
                <w:lang w:eastAsia="nl-BE"/>
              </w:rPr>
              <w:t>[20]</w:t>
            </w:r>
            <w:r w:rsidRPr="003C6CE9" w:rsidDel="00743401">
              <w:rPr>
                <w:rFonts w:eastAsia="Times New Roman" w:cs="Times New Roman"/>
                <w:b/>
                <w:bCs/>
                <w:sz w:val="20"/>
                <w:szCs w:val="20"/>
                <w:lang w:eastAsia="nl-BE"/>
              </w:rPr>
              <w:t xml:space="preserve"> </w:t>
            </w:r>
          </w:p>
        </w:tc>
        <w:tc>
          <w:tcPr>
            <w:tcW w:w="4563" w:type="dxa"/>
          </w:tcPr>
          <w:p w14:paraId="675EB17C" w14:textId="77777777" w:rsidR="00D73F0F" w:rsidRPr="003C6CE9" w:rsidRDefault="00D73F0F" w:rsidP="001800A5">
            <w:pPr>
              <w:rPr>
                <w:sz w:val="20"/>
                <w:szCs w:val="20"/>
              </w:rPr>
            </w:pPr>
            <w:r>
              <w:rPr>
                <w:sz w:val="20"/>
                <w:szCs w:val="20"/>
              </w:rPr>
              <w:t>H</w:t>
            </w:r>
            <w:r w:rsidRPr="003C6CE9">
              <w:rPr>
                <w:sz w:val="20"/>
                <w:szCs w:val="20"/>
              </w:rPr>
              <w:t xml:space="preserve">ierarchy culture, market culture, clan culture, and adhocracy culture </w:t>
            </w:r>
            <w:r>
              <w:rPr>
                <w:noProof/>
                <w:sz w:val="20"/>
                <w:szCs w:val="20"/>
              </w:rPr>
              <w:t>[20]</w:t>
            </w:r>
            <w:r>
              <w:rPr>
                <w:rFonts w:eastAsia="Times New Roman" w:cs="Times New Roman"/>
                <w:b/>
                <w:bCs/>
                <w:sz w:val="20"/>
                <w:szCs w:val="20"/>
                <w:lang w:eastAsia="nl-BE"/>
              </w:rPr>
              <w:t>.</w:t>
            </w:r>
            <w:r w:rsidRPr="003C6CE9">
              <w:rPr>
                <w:rFonts w:eastAsia="Times New Roman" w:cs="Times New Roman"/>
                <w:b/>
                <w:bCs/>
                <w:color w:val="C00000"/>
                <w:sz w:val="20"/>
                <w:szCs w:val="20"/>
                <w:lang w:eastAsia="nl-BE"/>
              </w:rPr>
              <w:t xml:space="preserve"> </w:t>
            </w:r>
          </w:p>
        </w:tc>
      </w:tr>
      <w:tr w:rsidR="00D73F0F" w:rsidRPr="003C6CE9" w14:paraId="675EB186" w14:textId="77777777" w:rsidTr="00A47C20">
        <w:tc>
          <w:tcPr>
            <w:tcW w:w="4453" w:type="dxa"/>
            <w:shd w:val="clear" w:color="auto" w:fill="DDD9C3" w:themeFill="background2" w:themeFillShade="E6"/>
          </w:tcPr>
          <w:p w14:paraId="675EB17E" w14:textId="77777777" w:rsidR="00D73F0F" w:rsidRPr="003C6CE9" w:rsidRDefault="00D73F0F" w:rsidP="00A47C20">
            <w:pPr>
              <w:rPr>
                <w:rFonts w:eastAsia="Times New Roman" w:cs="Times New Roman"/>
                <w:b/>
                <w:bCs/>
                <w:sz w:val="20"/>
                <w:szCs w:val="20"/>
                <w:lang w:eastAsia="nl-BE"/>
              </w:rPr>
            </w:pPr>
            <w:r w:rsidRPr="003C6CE9">
              <w:rPr>
                <w:rFonts w:eastAsia="Times New Roman" w:cs="Times New Roman"/>
                <w:b/>
                <w:bCs/>
                <w:sz w:val="20"/>
                <w:szCs w:val="20"/>
                <w:lang w:eastAsia="nl-BE"/>
              </w:rPr>
              <w:t>3. Health financing</w:t>
            </w:r>
          </w:p>
        </w:tc>
        <w:tc>
          <w:tcPr>
            <w:tcW w:w="4563" w:type="dxa"/>
            <w:shd w:val="clear" w:color="auto" w:fill="DDD9C3" w:themeFill="background2" w:themeFillShade="E6"/>
          </w:tcPr>
          <w:p w14:paraId="675EB17F" w14:textId="77777777" w:rsidR="00D73F0F" w:rsidRPr="003C6CE9" w:rsidRDefault="00D73F0F" w:rsidP="00A47C20">
            <w:pPr>
              <w:rPr>
                <w:sz w:val="20"/>
                <w:szCs w:val="20"/>
              </w:rPr>
            </w:pPr>
            <w:r w:rsidRPr="003C6CE9">
              <w:rPr>
                <w:sz w:val="20"/>
                <w:szCs w:val="20"/>
              </w:rPr>
              <w:t>Health financing refers to the “function of a health system concerned with the mobilization,</w:t>
            </w:r>
          </w:p>
          <w:p w14:paraId="675EB180" w14:textId="77777777" w:rsidR="00D73F0F" w:rsidRPr="003C6CE9" w:rsidRDefault="00D73F0F" w:rsidP="00A47C20">
            <w:pPr>
              <w:rPr>
                <w:sz w:val="20"/>
                <w:szCs w:val="20"/>
              </w:rPr>
            </w:pPr>
            <w:r w:rsidRPr="003C6CE9">
              <w:rPr>
                <w:sz w:val="20"/>
                <w:szCs w:val="20"/>
              </w:rPr>
              <w:t>accumulation and allocation of money to cover the health needs of the people, individually and</w:t>
            </w:r>
          </w:p>
          <w:p w14:paraId="675EB181" w14:textId="77777777" w:rsidR="00D73F0F" w:rsidRPr="003C6CE9" w:rsidRDefault="00D73F0F" w:rsidP="00A47C20">
            <w:pPr>
              <w:rPr>
                <w:sz w:val="20"/>
                <w:szCs w:val="20"/>
              </w:rPr>
            </w:pPr>
            <w:r w:rsidRPr="003C6CE9">
              <w:rPr>
                <w:sz w:val="20"/>
                <w:szCs w:val="20"/>
              </w:rPr>
              <w:t>collectively, in the health system… the purpose of health financing is to make funding available, as</w:t>
            </w:r>
          </w:p>
          <w:p w14:paraId="675EB182" w14:textId="77777777" w:rsidR="00D73F0F" w:rsidRPr="003C6CE9" w:rsidRDefault="00D73F0F" w:rsidP="00A47C20">
            <w:pPr>
              <w:rPr>
                <w:sz w:val="20"/>
                <w:szCs w:val="20"/>
              </w:rPr>
            </w:pPr>
            <w:r w:rsidRPr="003C6CE9">
              <w:rPr>
                <w:sz w:val="20"/>
                <w:szCs w:val="20"/>
              </w:rPr>
              <w:t xml:space="preserve">well as to set the right financial incentives to providers, to ensure that all individuals have </w:t>
            </w:r>
            <w:proofErr w:type="gramStart"/>
            <w:r w:rsidRPr="003C6CE9">
              <w:rPr>
                <w:sz w:val="20"/>
                <w:szCs w:val="20"/>
              </w:rPr>
              <w:t>access</w:t>
            </w:r>
            <w:proofErr w:type="gramEnd"/>
          </w:p>
          <w:p w14:paraId="675EB183" w14:textId="77777777" w:rsidR="00D73F0F" w:rsidRPr="003C6CE9" w:rsidRDefault="00D73F0F" w:rsidP="00A47C20">
            <w:pPr>
              <w:rPr>
                <w:sz w:val="20"/>
                <w:szCs w:val="20"/>
              </w:rPr>
            </w:pPr>
            <w:r w:rsidRPr="003C6CE9">
              <w:rPr>
                <w:sz w:val="20"/>
                <w:szCs w:val="20"/>
              </w:rPr>
              <w:t xml:space="preserve">to effective public health and personal healthcare” </w:t>
            </w:r>
            <w:r>
              <w:rPr>
                <w:noProof/>
                <w:sz w:val="20"/>
                <w:szCs w:val="20"/>
              </w:rPr>
              <w:t>[1]</w:t>
            </w:r>
            <w:r w:rsidRPr="003C6CE9">
              <w:rPr>
                <w:sz w:val="20"/>
                <w:szCs w:val="20"/>
              </w:rPr>
              <w:t>.</w:t>
            </w:r>
          </w:p>
          <w:p w14:paraId="675EB184" w14:textId="77777777" w:rsidR="00D73F0F" w:rsidRPr="003C6CE9" w:rsidRDefault="00D73F0F" w:rsidP="00A47C20">
            <w:pPr>
              <w:rPr>
                <w:sz w:val="20"/>
                <w:szCs w:val="20"/>
              </w:rPr>
            </w:pPr>
          </w:p>
          <w:p w14:paraId="675EB185" w14:textId="77777777" w:rsidR="00D73F0F" w:rsidRPr="003C6CE9" w:rsidRDefault="00D73F0F" w:rsidP="001800A5">
            <w:pPr>
              <w:rPr>
                <w:sz w:val="20"/>
                <w:szCs w:val="20"/>
              </w:rPr>
            </w:pPr>
            <w:r w:rsidRPr="003C6CE9">
              <w:rPr>
                <w:sz w:val="20"/>
                <w:szCs w:val="20"/>
              </w:rPr>
              <w:t xml:space="preserve">“A good health financing system raises adequate funds for health, protects people from financial catastrophe, allocates resources, and purchases good and services in ways that improve quality, equity, and efficiency” </w:t>
            </w:r>
            <w:r>
              <w:rPr>
                <w:noProof/>
                <w:sz w:val="20"/>
                <w:szCs w:val="20"/>
              </w:rPr>
              <w:t>[19]</w:t>
            </w:r>
            <w:r w:rsidRPr="003C6CE9">
              <w:rPr>
                <w:sz w:val="20"/>
                <w:szCs w:val="20"/>
              </w:rPr>
              <w:t>.</w:t>
            </w:r>
          </w:p>
        </w:tc>
      </w:tr>
      <w:tr w:rsidR="00D73F0F" w:rsidRPr="003C6CE9" w14:paraId="675EB189" w14:textId="77777777" w:rsidTr="00A47C20">
        <w:tc>
          <w:tcPr>
            <w:tcW w:w="4453" w:type="dxa"/>
          </w:tcPr>
          <w:p w14:paraId="675EB187" w14:textId="77777777" w:rsidR="00D73F0F" w:rsidRPr="003C6CE9" w:rsidRDefault="00D73F0F" w:rsidP="00A47C20">
            <w:pPr>
              <w:tabs>
                <w:tab w:val="left" w:pos="2692"/>
              </w:tabs>
              <w:rPr>
                <w:rFonts w:eastAsia="Times New Roman" w:cs="Times New Roman"/>
                <w:b/>
                <w:bCs/>
                <w:sz w:val="20"/>
                <w:szCs w:val="20"/>
                <w:lang w:eastAsia="nl-BE"/>
              </w:rPr>
            </w:pPr>
            <w:r w:rsidRPr="003C6CE9">
              <w:rPr>
                <w:rFonts w:eastAsia="Times New Roman" w:cs="Times New Roman"/>
                <w:b/>
                <w:bCs/>
                <w:sz w:val="20"/>
                <w:szCs w:val="20"/>
                <w:lang w:eastAsia="nl-BE"/>
              </w:rPr>
              <w:t>3.1 Budget / funding</w:t>
            </w:r>
            <w:r w:rsidRPr="003C6CE9">
              <w:rPr>
                <w:rFonts w:eastAsia="Times New Roman" w:cs="Times New Roman"/>
                <w:b/>
                <w:bCs/>
                <w:color w:val="C00000"/>
                <w:sz w:val="20"/>
                <w:szCs w:val="20"/>
                <w:lang w:eastAsia="nl-BE"/>
              </w:rPr>
              <w:t xml:space="preserve"> </w:t>
            </w:r>
            <w:r w:rsidRPr="003C6CE9">
              <w:rPr>
                <w:rFonts w:eastAsia="Times New Roman" w:cs="Times New Roman"/>
                <w:b/>
                <w:bCs/>
                <w:sz w:val="20"/>
                <w:szCs w:val="20"/>
                <w:lang w:eastAsia="nl-BE"/>
              </w:rPr>
              <w:t>for IC (collection of funds)</w:t>
            </w:r>
          </w:p>
        </w:tc>
        <w:tc>
          <w:tcPr>
            <w:tcW w:w="4563" w:type="dxa"/>
          </w:tcPr>
          <w:p w14:paraId="675EB188" w14:textId="77777777" w:rsidR="00D73F0F" w:rsidRPr="003C6CE9" w:rsidRDefault="00D73F0F" w:rsidP="001800A5">
            <w:pPr>
              <w:rPr>
                <w:color w:val="C00000"/>
                <w:sz w:val="20"/>
                <w:szCs w:val="20"/>
              </w:rPr>
            </w:pPr>
            <w:r w:rsidRPr="00D86424">
              <w:rPr>
                <w:sz w:val="20"/>
                <w:szCs w:val="20"/>
              </w:rPr>
              <w:t xml:space="preserve">“Raising </w:t>
            </w:r>
            <w:r w:rsidRPr="003C6CE9">
              <w:rPr>
                <w:sz w:val="20"/>
                <w:szCs w:val="20"/>
              </w:rPr>
              <w:t xml:space="preserve">sufficient funds for health. In low-income countries this must come from external and internal sources. Increasingly reliable external funds are needed in most countries, but more can be done to raise funds, or raise them more efficiently, domestically” </w:t>
            </w:r>
            <w:r>
              <w:rPr>
                <w:noProof/>
                <w:sz w:val="20"/>
                <w:szCs w:val="20"/>
              </w:rPr>
              <w:t>[1]</w:t>
            </w:r>
            <w:r w:rsidRPr="003C6CE9">
              <w:rPr>
                <w:sz w:val="20"/>
                <w:szCs w:val="20"/>
              </w:rPr>
              <w:t>.</w:t>
            </w:r>
          </w:p>
        </w:tc>
      </w:tr>
      <w:tr w:rsidR="00D73F0F" w:rsidRPr="003C6CE9" w14:paraId="675EB18D" w14:textId="77777777" w:rsidTr="00A47C20">
        <w:tc>
          <w:tcPr>
            <w:tcW w:w="4453" w:type="dxa"/>
          </w:tcPr>
          <w:p w14:paraId="675EB18A" w14:textId="77777777" w:rsidR="00D73F0F" w:rsidRPr="003C6CE9" w:rsidRDefault="00D73F0F" w:rsidP="00A47C20">
            <w:pPr>
              <w:rPr>
                <w:rFonts w:eastAsia="Times New Roman" w:cs="Times New Roman"/>
                <w:b/>
                <w:bCs/>
                <w:sz w:val="20"/>
                <w:szCs w:val="20"/>
                <w:lang w:eastAsia="nl-BE"/>
              </w:rPr>
            </w:pPr>
            <w:r w:rsidRPr="003C6CE9">
              <w:rPr>
                <w:rFonts w:eastAsia="Times New Roman" w:cs="Times New Roman"/>
                <w:b/>
                <w:bCs/>
                <w:sz w:val="20"/>
                <w:szCs w:val="20"/>
                <w:lang w:eastAsia="nl-BE"/>
              </w:rPr>
              <w:lastRenderedPageBreak/>
              <w:t>3.1.1</w:t>
            </w:r>
            <w:r w:rsidRPr="003C6CE9">
              <w:rPr>
                <w:rFonts w:eastAsia="Times New Roman" w:cs="Times New Roman"/>
                <w:b/>
                <w:bCs/>
                <w:color w:val="C00000"/>
                <w:sz w:val="20"/>
                <w:szCs w:val="20"/>
                <w:lang w:eastAsia="nl-BE"/>
              </w:rPr>
              <w:t xml:space="preserve"> </w:t>
            </w:r>
            <w:r w:rsidRPr="003C6CE9">
              <w:rPr>
                <w:rFonts w:eastAsia="Times New Roman" w:cs="Times New Roman"/>
                <w:b/>
                <w:bCs/>
                <w:sz w:val="20"/>
                <w:szCs w:val="20"/>
                <w:lang w:eastAsia="nl-BE"/>
              </w:rPr>
              <w:t>Service user financial payment to IC (including out-of-pocket / OOP)</w:t>
            </w:r>
          </w:p>
        </w:tc>
        <w:tc>
          <w:tcPr>
            <w:tcW w:w="4563" w:type="dxa"/>
          </w:tcPr>
          <w:p w14:paraId="675EB18B" w14:textId="77777777" w:rsidR="00D73F0F" w:rsidRPr="003C6CE9" w:rsidRDefault="00D73F0F" w:rsidP="00A47C20">
            <w:pPr>
              <w:rPr>
                <w:sz w:val="20"/>
                <w:szCs w:val="20"/>
              </w:rPr>
            </w:pPr>
            <w:r w:rsidRPr="003C6CE9">
              <w:rPr>
                <w:sz w:val="20"/>
                <w:szCs w:val="20"/>
              </w:rPr>
              <w:t>The amount that is not reimbursed by insurance and thus paid by the patient, out-of-pocket.</w:t>
            </w:r>
          </w:p>
          <w:p w14:paraId="675EB18C" w14:textId="77777777" w:rsidR="00D73F0F" w:rsidRPr="003C6CE9" w:rsidRDefault="00D73F0F" w:rsidP="00A47C20">
            <w:pPr>
              <w:rPr>
                <w:sz w:val="20"/>
                <w:szCs w:val="20"/>
              </w:rPr>
            </w:pPr>
          </w:p>
        </w:tc>
      </w:tr>
      <w:tr w:rsidR="00D73F0F" w:rsidRPr="003C6CE9" w14:paraId="675EB190" w14:textId="77777777" w:rsidTr="00A47C20">
        <w:tc>
          <w:tcPr>
            <w:tcW w:w="4453" w:type="dxa"/>
          </w:tcPr>
          <w:p w14:paraId="675EB18E" w14:textId="67463F17" w:rsidR="00D73F0F" w:rsidRPr="003C6CE9" w:rsidRDefault="00D73F0F" w:rsidP="00A84F6E">
            <w:pPr>
              <w:rPr>
                <w:rFonts w:eastAsia="Times New Roman" w:cs="Times New Roman"/>
                <w:b/>
                <w:bCs/>
                <w:color w:val="C00000"/>
                <w:sz w:val="20"/>
                <w:szCs w:val="20"/>
                <w:lang w:eastAsia="nl-BE"/>
              </w:rPr>
            </w:pPr>
            <w:r w:rsidRPr="003C6CE9">
              <w:rPr>
                <w:rFonts w:eastAsia="Times New Roman" w:cs="Times New Roman"/>
                <w:b/>
                <w:bCs/>
                <w:sz w:val="20"/>
                <w:szCs w:val="20"/>
                <w:lang w:eastAsia="nl-BE"/>
              </w:rPr>
              <w:t xml:space="preserve">3.2 </w:t>
            </w:r>
            <w:r w:rsidR="00665F53">
              <w:rPr>
                <w:rFonts w:eastAsia="Times New Roman" w:cs="Times New Roman"/>
                <w:b/>
                <w:bCs/>
                <w:sz w:val="20"/>
                <w:szCs w:val="20"/>
                <w:lang w:eastAsia="nl-BE"/>
              </w:rPr>
              <w:t>Social health protection</w:t>
            </w:r>
            <w:r w:rsidR="00A84F6E">
              <w:rPr>
                <w:rFonts w:eastAsia="Times New Roman" w:cs="Times New Roman"/>
                <w:b/>
                <w:bCs/>
                <w:sz w:val="20"/>
                <w:szCs w:val="20"/>
                <w:lang w:eastAsia="nl-BE"/>
              </w:rPr>
              <w:t xml:space="preserve"> (t</w:t>
            </w:r>
            <w:r w:rsidRPr="003C6CE9">
              <w:rPr>
                <w:rFonts w:eastAsia="Times New Roman" w:cs="Times New Roman"/>
                <w:b/>
                <w:bCs/>
                <w:sz w:val="20"/>
                <w:szCs w:val="20"/>
                <w:lang w:eastAsia="nl-BE"/>
              </w:rPr>
              <w:t>axes and/or insurance scheme</w:t>
            </w:r>
            <w:r w:rsidR="00A84F6E">
              <w:rPr>
                <w:rFonts w:eastAsia="Times New Roman" w:cs="Times New Roman"/>
                <w:b/>
                <w:bCs/>
                <w:sz w:val="20"/>
                <w:szCs w:val="20"/>
                <w:lang w:eastAsia="nl-BE"/>
              </w:rPr>
              <w:t xml:space="preserve">; </w:t>
            </w:r>
            <w:r w:rsidRPr="003C6CE9">
              <w:rPr>
                <w:rFonts w:eastAsia="Times New Roman" w:cs="Times New Roman"/>
                <w:b/>
                <w:bCs/>
                <w:sz w:val="20"/>
                <w:szCs w:val="20"/>
                <w:lang w:eastAsia="nl-BE"/>
              </w:rPr>
              <w:t>risk pooling)</w:t>
            </w:r>
          </w:p>
        </w:tc>
        <w:tc>
          <w:tcPr>
            <w:tcW w:w="4563" w:type="dxa"/>
          </w:tcPr>
          <w:p w14:paraId="675EB18F" w14:textId="77777777" w:rsidR="00D73F0F" w:rsidRPr="003C6CE9" w:rsidRDefault="00D73F0F" w:rsidP="001800A5">
            <w:pPr>
              <w:rPr>
                <w:sz w:val="20"/>
                <w:szCs w:val="20"/>
              </w:rPr>
            </w:pPr>
            <w:r w:rsidRPr="003C6CE9">
              <w:rPr>
                <w:sz w:val="20"/>
                <w:szCs w:val="20"/>
              </w:rPr>
              <w:t xml:space="preserve">“Improving financial risk protection and coverage for vulnerable groups. In most countries this requires moving away from direct out-of-pocket payments and towards a form of prepayment with risk pooling that is tax- or insurance-based” </w:t>
            </w:r>
            <w:r>
              <w:rPr>
                <w:noProof/>
                <w:sz w:val="20"/>
                <w:szCs w:val="20"/>
              </w:rPr>
              <w:t>[1]</w:t>
            </w:r>
            <w:r w:rsidRPr="003C6CE9">
              <w:rPr>
                <w:sz w:val="20"/>
                <w:szCs w:val="20"/>
              </w:rPr>
              <w:t>.</w:t>
            </w:r>
          </w:p>
        </w:tc>
      </w:tr>
      <w:tr w:rsidR="00D73F0F" w:rsidRPr="003C6CE9" w14:paraId="675EB194" w14:textId="77777777" w:rsidTr="00A47C20">
        <w:tc>
          <w:tcPr>
            <w:tcW w:w="4453" w:type="dxa"/>
          </w:tcPr>
          <w:p w14:paraId="675EB191" w14:textId="77777777" w:rsidR="00D73F0F" w:rsidRPr="003C6CE9" w:rsidRDefault="00D73F0F" w:rsidP="00A47C20">
            <w:pPr>
              <w:rPr>
                <w:rFonts w:eastAsia="Times New Roman" w:cs="Times New Roman"/>
                <w:b/>
                <w:bCs/>
                <w:sz w:val="20"/>
                <w:szCs w:val="20"/>
                <w:lang w:eastAsia="nl-BE"/>
              </w:rPr>
            </w:pPr>
            <w:r w:rsidRPr="003C6CE9">
              <w:rPr>
                <w:rFonts w:eastAsia="Times New Roman" w:cs="Times New Roman"/>
                <w:b/>
                <w:bCs/>
                <w:sz w:val="20"/>
                <w:szCs w:val="20"/>
                <w:lang w:eastAsia="nl-BE"/>
              </w:rPr>
              <w:t>3.3 Service provider financial payment (purchasing and resources allocation)</w:t>
            </w:r>
          </w:p>
        </w:tc>
        <w:tc>
          <w:tcPr>
            <w:tcW w:w="4563" w:type="dxa"/>
          </w:tcPr>
          <w:p w14:paraId="675EB192" w14:textId="77777777" w:rsidR="00D73F0F" w:rsidRPr="003C6CE9" w:rsidRDefault="00D73F0F" w:rsidP="00A47C20">
            <w:pPr>
              <w:rPr>
                <w:sz w:val="20"/>
                <w:szCs w:val="20"/>
              </w:rPr>
            </w:pPr>
            <w:r w:rsidRPr="003C6CE9">
              <w:rPr>
                <w:sz w:val="20"/>
                <w:szCs w:val="20"/>
              </w:rPr>
              <w:t xml:space="preserve">The way that the healthcare worker is paid, </w:t>
            </w:r>
            <w:proofErr w:type="gramStart"/>
            <w:r w:rsidRPr="003C6CE9">
              <w:rPr>
                <w:sz w:val="20"/>
                <w:szCs w:val="20"/>
              </w:rPr>
              <w:t>e.g.</w:t>
            </w:r>
            <w:proofErr w:type="gramEnd"/>
            <w:r w:rsidRPr="003C6CE9">
              <w:rPr>
                <w:sz w:val="20"/>
                <w:szCs w:val="20"/>
              </w:rPr>
              <w:t xml:space="preserve"> a (fixed) salary, fee-for-service, or capitation-based.</w:t>
            </w:r>
          </w:p>
          <w:p w14:paraId="675EB193" w14:textId="77777777" w:rsidR="00D73F0F" w:rsidRPr="003C6CE9" w:rsidRDefault="00D73F0F" w:rsidP="00A47C20">
            <w:pPr>
              <w:rPr>
                <w:sz w:val="20"/>
                <w:szCs w:val="20"/>
              </w:rPr>
            </w:pPr>
          </w:p>
        </w:tc>
      </w:tr>
      <w:tr w:rsidR="00D73F0F" w:rsidRPr="003C6CE9" w14:paraId="675EB198" w14:textId="77777777" w:rsidTr="00A47C20">
        <w:tc>
          <w:tcPr>
            <w:tcW w:w="4453" w:type="dxa"/>
            <w:shd w:val="clear" w:color="auto" w:fill="DDD9C3" w:themeFill="background2" w:themeFillShade="E6"/>
          </w:tcPr>
          <w:p w14:paraId="675EB195" w14:textId="77777777" w:rsidR="00D73F0F" w:rsidRPr="003C6CE9" w:rsidRDefault="00D73F0F" w:rsidP="00A47C20">
            <w:pPr>
              <w:rPr>
                <w:rFonts w:eastAsia="Times New Roman" w:cs="Times New Roman"/>
                <w:b/>
                <w:bCs/>
                <w:sz w:val="20"/>
                <w:szCs w:val="20"/>
                <w:lang w:eastAsia="nl-BE"/>
              </w:rPr>
            </w:pPr>
            <w:r w:rsidRPr="003C6CE9">
              <w:rPr>
                <w:rFonts w:eastAsia="Times New Roman" w:cs="Times New Roman"/>
                <w:b/>
                <w:bCs/>
                <w:sz w:val="20"/>
                <w:szCs w:val="20"/>
                <w:lang w:eastAsia="nl-BE"/>
              </w:rPr>
              <w:t>4. Human resources for health / health workforce</w:t>
            </w:r>
          </w:p>
        </w:tc>
        <w:tc>
          <w:tcPr>
            <w:tcW w:w="4563" w:type="dxa"/>
            <w:shd w:val="clear" w:color="auto" w:fill="DDD9C3" w:themeFill="background2" w:themeFillShade="E6"/>
          </w:tcPr>
          <w:p w14:paraId="675EB196" w14:textId="77777777" w:rsidR="00D73F0F" w:rsidRPr="003C6CE9" w:rsidRDefault="00D73F0F" w:rsidP="00A47C20">
            <w:pPr>
              <w:rPr>
                <w:sz w:val="20"/>
                <w:szCs w:val="20"/>
              </w:rPr>
            </w:pPr>
            <w:r w:rsidRPr="003C6CE9">
              <w:rPr>
                <w:sz w:val="20"/>
                <w:szCs w:val="20"/>
              </w:rPr>
              <w:t xml:space="preserve">“The health workforce can be defined as all people engaged in actions whose primary intent is to </w:t>
            </w:r>
            <w:proofErr w:type="gramStart"/>
            <w:r w:rsidRPr="003C6CE9">
              <w:rPr>
                <w:sz w:val="20"/>
                <w:szCs w:val="20"/>
              </w:rPr>
              <w:t>enhance</w:t>
            </w:r>
            <w:proofErr w:type="gramEnd"/>
          </w:p>
          <w:p w14:paraId="675EB197" w14:textId="77777777" w:rsidR="00D73F0F" w:rsidRPr="003C6CE9" w:rsidRDefault="00D73F0F" w:rsidP="001800A5">
            <w:pPr>
              <w:rPr>
                <w:sz w:val="20"/>
                <w:szCs w:val="20"/>
              </w:rPr>
            </w:pPr>
            <w:r w:rsidRPr="003C6CE9">
              <w:rPr>
                <w:sz w:val="20"/>
                <w:szCs w:val="20"/>
              </w:rPr>
              <w:t xml:space="preserve">health. These human resources include clinical staff, such as physicians, nurses, pharmacists and dentists, as well as management and support staff, </w:t>
            </w:r>
            <w:proofErr w:type="gramStart"/>
            <w:r w:rsidRPr="003C6CE9">
              <w:rPr>
                <w:sz w:val="20"/>
                <w:szCs w:val="20"/>
              </w:rPr>
              <w:t>i.e.</w:t>
            </w:r>
            <w:proofErr w:type="gramEnd"/>
            <w:r w:rsidRPr="003C6CE9">
              <w:rPr>
                <w:sz w:val="20"/>
                <w:szCs w:val="20"/>
              </w:rPr>
              <w:t xml:space="preserve"> those who do not deliver services directly but are essential to the performance of health systems, such as managers, ambulance drivers and accountants. […] Human resources for health include individuals working in the private and public sectors, those working full-time or parttime, those working at one job or holding jobs at two or more locations, and those who are paid or provide services on a voluntary basis. They include workers in different domains of health systems, such as curative, </w:t>
            </w:r>
            <w:proofErr w:type="gramStart"/>
            <w:r w:rsidRPr="003C6CE9">
              <w:rPr>
                <w:sz w:val="20"/>
                <w:szCs w:val="20"/>
              </w:rPr>
              <w:t>preventive</w:t>
            </w:r>
            <w:proofErr w:type="gramEnd"/>
            <w:r w:rsidRPr="003C6CE9">
              <w:rPr>
                <w:sz w:val="20"/>
                <w:szCs w:val="20"/>
              </w:rPr>
              <w:t xml:space="preserve"> and rehabilitative care services as well as health education, promotion and research. They may also include people with the education and training to deliver health services but who are not engaged in the national health labour market (</w:t>
            </w:r>
            <w:proofErr w:type="gramStart"/>
            <w:r w:rsidRPr="003C6CE9">
              <w:rPr>
                <w:sz w:val="20"/>
                <w:szCs w:val="20"/>
              </w:rPr>
              <w:t>e.g.</w:t>
            </w:r>
            <w:proofErr w:type="gramEnd"/>
            <w:r w:rsidRPr="003C6CE9">
              <w:rPr>
                <w:sz w:val="20"/>
                <w:szCs w:val="20"/>
              </w:rPr>
              <w:t xml:space="preserve"> if they are unemployed or have migrated or withdrawn from the labour force for personal reasons)” </w:t>
            </w:r>
            <w:r>
              <w:rPr>
                <w:noProof/>
                <w:sz w:val="20"/>
                <w:szCs w:val="20"/>
              </w:rPr>
              <w:t>[1]</w:t>
            </w:r>
            <w:r w:rsidRPr="003C6CE9">
              <w:rPr>
                <w:sz w:val="20"/>
                <w:szCs w:val="20"/>
              </w:rPr>
              <w:t>.</w:t>
            </w:r>
          </w:p>
        </w:tc>
      </w:tr>
      <w:tr w:rsidR="00D73F0F" w:rsidRPr="003C6CE9" w14:paraId="675EB19B" w14:textId="77777777" w:rsidTr="00A47C20">
        <w:tc>
          <w:tcPr>
            <w:tcW w:w="4453" w:type="dxa"/>
          </w:tcPr>
          <w:p w14:paraId="675EB199" w14:textId="77777777" w:rsidR="00D73F0F" w:rsidRPr="003C6CE9" w:rsidRDefault="00D73F0F" w:rsidP="00A47C20">
            <w:pPr>
              <w:rPr>
                <w:rFonts w:eastAsia="Times New Roman" w:cs="Times New Roman"/>
                <w:b/>
                <w:bCs/>
                <w:sz w:val="20"/>
                <w:szCs w:val="20"/>
                <w:lang w:eastAsia="nl-BE"/>
              </w:rPr>
            </w:pPr>
            <w:r w:rsidRPr="003C6CE9">
              <w:rPr>
                <w:rFonts w:eastAsia="Times New Roman" w:cs="Times New Roman"/>
                <w:b/>
                <w:bCs/>
                <w:sz w:val="20"/>
                <w:szCs w:val="20"/>
                <w:lang w:eastAsia="nl-BE"/>
              </w:rPr>
              <w:t>4.1 Availability / shortages</w:t>
            </w:r>
          </w:p>
        </w:tc>
        <w:tc>
          <w:tcPr>
            <w:tcW w:w="4563" w:type="dxa"/>
          </w:tcPr>
          <w:p w14:paraId="675EB19A" w14:textId="77777777" w:rsidR="00D73F0F" w:rsidRPr="003C6CE9" w:rsidRDefault="00D73F0F" w:rsidP="00A47C20">
            <w:pPr>
              <w:rPr>
                <w:sz w:val="20"/>
                <w:szCs w:val="20"/>
              </w:rPr>
            </w:pPr>
            <w:r w:rsidRPr="003C6CE9">
              <w:rPr>
                <w:sz w:val="20"/>
                <w:szCs w:val="20"/>
              </w:rPr>
              <w:t>Reflecting on the capacity and size of health workforce relative to the population, which may reflect a shortage or oversupply of certain HCWs.</w:t>
            </w:r>
          </w:p>
        </w:tc>
      </w:tr>
      <w:tr w:rsidR="00D73F0F" w:rsidRPr="003C6CE9" w14:paraId="675EB19E" w14:textId="77777777" w:rsidTr="00A47C20">
        <w:tc>
          <w:tcPr>
            <w:tcW w:w="4453" w:type="dxa"/>
          </w:tcPr>
          <w:p w14:paraId="675EB19C" w14:textId="77777777" w:rsidR="00D73F0F" w:rsidRPr="003C6CE9" w:rsidRDefault="00D73F0F" w:rsidP="00A47C20">
            <w:pPr>
              <w:rPr>
                <w:rFonts w:eastAsia="Times New Roman" w:cs="Times New Roman"/>
                <w:b/>
                <w:bCs/>
                <w:sz w:val="20"/>
                <w:szCs w:val="20"/>
                <w:lang w:eastAsia="nl-BE"/>
              </w:rPr>
            </w:pPr>
            <w:r w:rsidRPr="003C6CE9">
              <w:rPr>
                <w:rFonts w:eastAsia="Times New Roman" w:cs="Times New Roman"/>
                <w:b/>
                <w:bCs/>
                <w:sz w:val="20"/>
                <w:szCs w:val="20"/>
                <w:lang w:eastAsia="nl-BE"/>
              </w:rPr>
              <w:t>4.2 HR</w:t>
            </w:r>
            <w:r>
              <w:rPr>
                <w:rFonts w:eastAsia="Times New Roman" w:cs="Times New Roman"/>
                <w:b/>
                <w:bCs/>
                <w:sz w:val="20"/>
                <w:szCs w:val="20"/>
                <w:lang w:eastAsia="nl-BE"/>
              </w:rPr>
              <w:t>H</w:t>
            </w:r>
            <w:r w:rsidRPr="003C6CE9">
              <w:rPr>
                <w:rFonts w:eastAsia="Times New Roman" w:cs="Times New Roman"/>
                <w:b/>
                <w:bCs/>
                <w:sz w:val="20"/>
                <w:szCs w:val="20"/>
                <w:lang w:eastAsia="nl-BE"/>
              </w:rPr>
              <w:t xml:space="preserve"> planning / management</w:t>
            </w:r>
          </w:p>
        </w:tc>
        <w:tc>
          <w:tcPr>
            <w:tcW w:w="4563" w:type="dxa"/>
          </w:tcPr>
          <w:p w14:paraId="675EB19D" w14:textId="77777777" w:rsidR="00D73F0F" w:rsidRPr="003C6CE9" w:rsidRDefault="00D73F0F" w:rsidP="001800A5">
            <w:pPr>
              <w:rPr>
                <w:sz w:val="20"/>
                <w:szCs w:val="20"/>
              </w:rPr>
            </w:pPr>
            <w:r w:rsidRPr="003C6CE9">
              <w:rPr>
                <w:sz w:val="20"/>
                <w:szCs w:val="20"/>
              </w:rPr>
              <w:t xml:space="preserve">“Strengthening the performance of health systems depends on more than just increasing the numbers of health workers; actions for assessing and strengthening their recruitment, distribution, retention and productivity are also important” </w:t>
            </w:r>
            <w:r>
              <w:rPr>
                <w:noProof/>
                <w:sz w:val="20"/>
                <w:szCs w:val="20"/>
              </w:rPr>
              <w:t>[1]</w:t>
            </w:r>
            <w:r w:rsidRPr="003C6CE9">
              <w:rPr>
                <w:sz w:val="20"/>
                <w:szCs w:val="20"/>
              </w:rPr>
              <w:t>.</w:t>
            </w:r>
          </w:p>
        </w:tc>
      </w:tr>
      <w:tr w:rsidR="00D73F0F" w:rsidRPr="003C6CE9" w14:paraId="675EB1A1" w14:textId="77777777" w:rsidTr="00A47C20">
        <w:tc>
          <w:tcPr>
            <w:tcW w:w="4453" w:type="dxa"/>
          </w:tcPr>
          <w:p w14:paraId="675EB19F" w14:textId="77777777" w:rsidR="00D73F0F" w:rsidRPr="003C6CE9" w:rsidRDefault="00D73F0F" w:rsidP="00A47C20">
            <w:pPr>
              <w:rPr>
                <w:rFonts w:eastAsia="Times New Roman" w:cs="Times New Roman"/>
                <w:b/>
                <w:bCs/>
                <w:sz w:val="20"/>
                <w:szCs w:val="20"/>
                <w:lang w:eastAsia="nl-BE"/>
              </w:rPr>
            </w:pPr>
            <w:r w:rsidRPr="003C6CE9">
              <w:rPr>
                <w:rFonts w:eastAsia="Times New Roman" w:cs="Times New Roman"/>
                <w:b/>
                <w:bCs/>
                <w:sz w:val="20"/>
                <w:szCs w:val="20"/>
                <w:lang w:eastAsia="nl-BE"/>
              </w:rPr>
              <w:t>4.3 Training</w:t>
            </w:r>
          </w:p>
        </w:tc>
        <w:tc>
          <w:tcPr>
            <w:tcW w:w="4563" w:type="dxa"/>
          </w:tcPr>
          <w:p w14:paraId="675EB1A0" w14:textId="77777777" w:rsidR="00D73F0F" w:rsidRPr="003C6CE9" w:rsidRDefault="00D73F0F" w:rsidP="00A47C20">
            <w:pPr>
              <w:rPr>
                <w:sz w:val="20"/>
                <w:szCs w:val="20"/>
              </w:rPr>
            </w:pPr>
            <w:r w:rsidRPr="003C6CE9">
              <w:rPr>
                <w:sz w:val="20"/>
                <w:szCs w:val="20"/>
              </w:rPr>
              <w:t>Reflecting on skills of the workforce and vocational training</w:t>
            </w:r>
          </w:p>
        </w:tc>
      </w:tr>
      <w:tr w:rsidR="00D73F0F" w:rsidRPr="003C6CE9" w14:paraId="675EB1A5" w14:textId="77777777" w:rsidTr="00A47C20">
        <w:tc>
          <w:tcPr>
            <w:tcW w:w="4453" w:type="dxa"/>
          </w:tcPr>
          <w:p w14:paraId="675EB1A2" w14:textId="77777777" w:rsidR="00D73F0F" w:rsidRPr="003C6CE9" w:rsidRDefault="00D73F0F" w:rsidP="00A47C20">
            <w:pPr>
              <w:rPr>
                <w:rFonts w:eastAsia="Times New Roman" w:cs="Times New Roman"/>
                <w:b/>
                <w:bCs/>
                <w:sz w:val="20"/>
                <w:szCs w:val="20"/>
                <w:lang w:eastAsia="nl-BE"/>
              </w:rPr>
            </w:pPr>
            <w:r w:rsidRPr="003C6CE9">
              <w:rPr>
                <w:rFonts w:eastAsia="Times New Roman" w:cs="Times New Roman"/>
                <w:b/>
                <w:bCs/>
                <w:sz w:val="20"/>
                <w:szCs w:val="20"/>
                <w:lang w:eastAsia="nl-BE"/>
              </w:rPr>
              <w:t>4.4 Task shifting</w:t>
            </w:r>
          </w:p>
        </w:tc>
        <w:tc>
          <w:tcPr>
            <w:tcW w:w="4563" w:type="dxa"/>
          </w:tcPr>
          <w:p w14:paraId="675EB1A3" w14:textId="77777777" w:rsidR="00D73F0F" w:rsidRPr="003C6CE9" w:rsidRDefault="00D73F0F" w:rsidP="00A47C20">
            <w:pPr>
              <w:rPr>
                <w:sz w:val="20"/>
                <w:szCs w:val="20"/>
              </w:rPr>
            </w:pPr>
            <w:r w:rsidRPr="003C6CE9">
              <w:rPr>
                <w:sz w:val="20"/>
                <w:szCs w:val="20"/>
              </w:rPr>
              <w:t xml:space="preserve">Task shifting involves the rational redistribution of tasks to individuals within the healthcare team with fewer qualifications that conventionally were not within their scope of work </w:t>
            </w:r>
            <w:r>
              <w:rPr>
                <w:noProof/>
                <w:sz w:val="20"/>
                <w:szCs w:val="20"/>
              </w:rPr>
              <w:t>[24-26]</w:t>
            </w:r>
            <w:r w:rsidRPr="003C6CE9">
              <w:rPr>
                <w:sz w:val="20"/>
                <w:szCs w:val="20"/>
              </w:rPr>
              <w:t>.</w:t>
            </w:r>
          </w:p>
          <w:p w14:paraId="675EB1A4" w14:textId="77777777" w:rsidR="00D73F0F" w:rsidRPr="003C6CE9" w:rsidRDefault="00D73F0F" w:rsidP="001800A5">
            <w:pPr>
              <w:rPr>
                <w:sz w:val="20"/>
                <w:szCs w:val="20"/>
              </w:rPr>
            </w:pPr>
            <w:r w:rsidRPr="003C6CE9">
              <w:rPr>
                <w:sz w:val="20"/>
                <w:szCs w:val="20"/>
              </w:rPr>
              <w:t xml:space="preserve">It is an approach to help address the shortage of </w:t>
            </w:r>
            <w:r w:rsidRPr="003C6CE9">
              <w:rPr>
                <w:sz w:val="20"/>
                <w:szCs w:val="20"/>
              </w:rPr>
              <w:lastRenderedPageBreak/>
              <w:t xml:space="preserve">healthcare workers through reallocating human resources </w:t>
            </w:r>
            <w:r>
              <w:rPr>
                <w:noProof/>
                <w:sz w:val="20"/>
                <w:szCs w:val="20"/>
              </w:rPr>
              <w:t>[26]</w:t>
            </w:r>
            <w:r w:rsidRPr="003C6CE9">
              <w:rPr>
                <w:sz w:val="20"/>
                <w:szCs w:val="20"/>
              </w:rPr>
              <w:fldChar w:fldCharType="begin" w:fldLock="1"/>
            </w:r>
            <w:r>
              <w:rPr>
                <w:sz w:val="20"/>
                <w:szCs w:val="20"/>
              </w:rPr>
              <w:instrText>ADDIN CSL_CITATION {"citationItems":[{"id":"ITEM-1","itemData":{"DOI":"10.1080/13814788.2021.1954616","ISSN":"17511402","PMID":"34334095","abstract":"Background: Task shifting is an approach to help address the shortage of healthcare workers through reallocating human resources but its impact on primary care is unclear. Objectives: To provide an overview of reviews describing task shifts from physicians to allied healthcare workers in primary care and its impact on clinical outcomes. Methods: Six electronic databases were searched up to 15 December 2020, to identify reviews describing task shifting in primary care. Two reviewers independently screened the references for relevant studies, extracted the data and assessed the methodological quality of included reviews using AMSTAR-2. Results: Twenty-one reviews that described task shifting in primary care were included. Task shifted include provision of care for people with chronic conditions, medication prescribing, and health education. We found that task shifting could potentially improve several health outcomes such as blood pressure, HbA1c, and mental health while achieving cost savings. Key elements for successful implementation of task shifting include collaboration among all parties, a system for coordinated care, provider empowerment, patient preference, shared decision making, training and competency, supportive organisation system, clear process outcome, and financing. Conclusion: Evidence suggests that allied healthcare workers such as pharmacists and nurses can potentially undertake substantially expanded roles to support physicians in primary care in response to the changing health service demand. Tasks include providing care to patients, independent prescribing, counselling and education, with comparable quality of care.","author":[{"dropping-particle":"","family":"Leong","given":"Siew Lian","non-dropping-particle":"","parse-names":false,"suffix":""},{"dropping-particle":"","family":"Teoh","given":"Siew Li","non-dropping-particle":"","parse-names":false,"suffix":""},{"dropping-particle":"","family":"Fun","given":"Weng Hong","non-dropping-particle":"","parse-names":false,"suffix":""},{"dropping-particle":"","family":"Lee","given":"Shaun Wen Huey","non-dropping-particle":"","parse-names":false,"suffix":""}],"container-title":"The European Journal of General Practice","id":"ITEM-1","issue":"1","issued":{"date-parts":[["2021"]]},"page":"198","publisher":"Taylor &amp; Francis","title":"Task shifting in primary care to tackle healthcare worker shortages: An umbrella review","type":"article-journal","volume":"27"},"uris":["http://www.mendeley.com/documents/?uuid=53cdc2b6-b5d3-382d-98d2-d215420ac18d"]}],"mendeley":{"formattedCitation":"[97]","plainTextFormattedCitation":"[97]","previouslyFormattedCitation":"[97]"},"properties":{"noteIndex":0},"schema":"https://github.com/citation-style-language/schema/raw/master/csl-citation.json"}</w:instrText>
            </w:r>
            <w:r w:rsidRPr="003C6CE9">
              <w:rPr>
                <w:sz w:val="20"/>
                <w:szCs w:val="20"/>
              </w:rPr>
              <w:fldChar w:fldCharType="end"/>
            </w:r>
            <w:r w:rsidRPr="003C6CE9">
              <w:rPr>
                <w:sz w:val="20"/>
                <w:szCs w:val="20"/>
              </w:rPr>
              <w:t xml:space="preserve">. This is about finding the best person (or machine) for the job, or in other words, task shifting is the process of matching skills to changing needs and opportunities </w:t>
            </w:r>
            <w:r>
              <w:rPr>
                <w:noProof/>
                <w:sz w:val="20"/>
                <w:szCs w:val="20"/>
              </w:rPr>
              <w:t>[27]</w:t>
            </w:r>
            <w:r w:rsidRPr="003C6CE9">
              <w:rPr>
                <w:sz w:val="20"/>
                <w:szCs w:val="20"/>
              </w:rPr>
              <w:t xml:space="preserve">. It involves questioning what health workers do, asking if it can be done in an improved way, and implementing change </w:t>
            </w:r>
            <w:r>
              <w:rPr>
                <w:noProof/>
                <w:sz w:val="20"/>
                <w:szCs w:val="20"/>
              </w:rPr>
              <w:t>[27]</w:t>
            </w:r>
            <w:r w:rsidRPr="003C6CE9">
              <w:rPr>
                <w:sz w:val="20"/>
                <w:szCs w:val="20"/>
              </w:rPr>
              <w:t>.</w:t>
            </w:r>
          </w:p>
        </w:tc>
      </w:tr>
      <w:tr w:rsidR="00D73F0F" w:rsidRPr="003C6CE9" w14:paraId="675EB1A9" w14:textId="77777777" w:rsidTr="00A47C20">
        <w:tc>
          <w:tcPr>
            <w:tcW w:w="4453" w:type="dxa"/>
            <w:shd w:val="clear" w:color="auto" w:fill="DDD9C3" w:themeFill="background2" w:themeFillShade="E6"/>
          </w:tcPr>
          <w:p w14:paraId="675EB1A6" w14:textId="77777777" w:rsidR="00D73F0F" w:rsidRPr="003C6CE9" w:rsidRDefault="00D73F0F" w:rsidP="00A47C20">
            <w:pPr>
              <w:rPr>
                <w:rFonts w:eastAsia="Times New Roman" w:cs="Times New Roman"/>
                <w:b/>
                <w:bCs/>
                <w:sz w:val="20"/>
                <w:szCs w:val="20"/>
                <w:lang w:eastAsia="nl-BE"/>
              </w:rPr>
            </w:pPr>
            <w:r w:rsidRPr="003C6CE9">
              <w:rPr>
                <w:rFonts w:eastAsia="Times New Roman" w:cs="Times New Roman"/>
                <w:b/>
                <w:bCs/>
                <w:sz w:val="20"/>
                <w:szCs w:val="20"/>
                <w:lang w:eastAsia="nl-BE"/>
              </w:rPr>
              <w:lastRenderedPageBreak/>
              <w:t>5. Medical supply/resources</w:t>
            </w:r>
          </w:p>
        </w:tc>
        <w:tc>
          <w:tcPr>
            <w:tcW w:w="4563" w:type="dxa"/>
            <w:shd w:val="clear" w:color="auto" w:fill="DDD9C3" w:themeFill="background2" w:themeFillShade="E6"/>
          </w:tcPr>
          <w:p w14:paraId="675EB1A7" w14:textId="77777777" w:rsidR="00D73F0F" w:rsidRPr="003C6CE9" w:rsidRDefault="00D73F0F" w:rsidP="00A47C20">
            <w:pPr>
              <w:rPr>
                <w:sz w:val="20"/>
                <w:szCs w:val="20"/>
              </w:rPr>
            </w:pPr>
            <w:r w:rsidRPr="003C6CE9">
              <w:rPr>
                <w:sz w:val="20"/>
                <w:szCs w:val="20"/>
              </w:rPr>
              <w:t xml:space="preserve">“A well-functioning health system ensures </w:t>
            </w:r>
            <w:proofErr w:type="gramStart"/>
            <w:r w:rsidRPr="003C6CE9">
              <w:rPr>
                <w:sz w:val="20"/>
                <w:szCs w:val="20"/>
              </w:rPr>
              <w:t>equitable</w:t>
            </w:r>
            <w:proofErr w:type="gramEnd"/>
          </w:p>
          <w:p w14:paraId="675EB1A8" w14:textId="77777777" w:rsidR="00D73F0F" w:rsidRPr="003C6CE9" w:rsidRDefault="00D73F0F" w:rsidP="001800A5">
            <w:pPr>
              <w:rPr>
                <w:sz w:val="20"/>
                <w:szCs w:val="20"/>
              </w:rPr>
            </w:pPr>
            <w:r w:rsidRPr="003C6CE9">
              <w:rPr>
                <w:sz w:val="20"/>
                <w:szCs w:val="20"/>
              </w:rPr>
              <w:t xml:space="preserve">access to essential medical products, vaccines and technologies of assured quality, safety, efficacy and cost-effectiveness, and their scientifically sound and cost-effective use” </w:t>
            </w:r>
            <w:r>
              <w:rPr>
                <w:noProof/>
                <w:sz w:val="20"/>
                <w:szCs w:val="20"/>
              </w:rPr>
              <w:t>[1]</w:t>
            </w:r>
            <w:r w:rsidRPr="003C6CE9">
              <w:rPr>
                <w:sz w:val="20"/>
                <w:szCs w:val="20"/>
              </w:rPr>
              <w:t>.</w:t>
            </w:r>
          </w:p>
        </w:tc>
      </w:tr>
      <w:tr w:rsidR="00D73F0F" w:rsidRPr="003C6CE9" w14:paraId="675EB1AD" w14:textId="77777777" w:rsidTr="00A47C20">
        <w:tc>
          <w:tcPr>
            <w:tcW w:w="4453" w:type="dxa"/>
          </w:tcPr>
          <w:p w14:paraId="675EB1AA" w14:textId="77777777" w:rsidR="00D73F0F" w:rsidRPr="003C6CE9" w:rsidRDefault="00D73F0F" w:rsidP="00A47C20">
            <w:pPr>
              <w:rPr>
                <w:rFonts w:eastAsia="Times New Roman" w:cs="Times New Roman"/>
                <w:b/>
                <w:bCs/>
                <w:sz w:val="20"/>
                <w:szCs w:val="20"/>
                <w:lang w:eastAsia="nl-BE"/>
              </w:rPr>
            </w:pPr>
            <w:r w:rsidRPr="003C6CE9">
              <w:rPr>
                <w:rFonts w:eastAsia="Times New Roman" w:cs="Times New Roman"/>
                <w:b/>
                <w:bCs/>
                <w:sz w:val="20"/>
                <w:szCs w:val="20"/>
                <w:lang w:eastAsia="nl-BE"/>
              </w:rPr>
              <w:t>5.1 Medications (supply and availability)</w:t>
            </w:r>
          </w:p>
        </w:tc>
        <w:tc>
          <w:tcPr>
            <w:tcW w:w="4563" w:type="dxa"/>
          </w:tcPr>
          <w:p w14:paraId="675EB1AB" w14:textId="77777777" w:rsidR="00D73F0F" w:rsidRPr="003C6CE9" w:rsidRDefault="00D73F0F" w:rsidP="00A47C20">
            <w:pPr>
              <w:rPr>
                <w:sz w:val="20"/>
                <w:szCs w:val="20"/>
              </w:rPr>
            </w:pPr>
            <w:r w:rsidRPr="003C6CE9">
              <w:rPr>
                <w:sz w:val="20"/>
                <w:szCs w:val="20"/>
              </w:rPr>
              <w:t>Are medications for NCDs supplied and available within primary healthcare?</w:t>
            </w:r>
          </w:p>
          <w:p w14:paraId="675EB1AC" w14:textId="77777777" w:rsidR="00D73F0F" w:rsidRPr="003C6CE9" w:rsidRDefault="00D73F0F" w:rsidP="00A47C20">
            <w:pPr>
              <w:rPr>
                <w:sz w:val="20"/>
                <w:szCs w:val="20"/>
              </w:rPr>
            </w:pPr>
          </w:p>
        </w:tc>
      </w:tr>
      <w:tr w:rsidR="00D73F0F" w:rsidRPr="003C6CE9" w14:paraId="675EB1B1" w14:textId="77777777" w:rsidTr="00A47C20">
        <w:tc>
          <w:tcPr>
            <w:tcW w:w="4453" w:type="dxa"/>
          </w:tcPr>
          <w:p w14:paraId="675EB1AE" w14:textId="77777777" w:rsidR="00D73F0F" w:rsidRPr="003C6CE9" w:rsidRDefault="00D73F0F" w:rsidP="00A47C20">
            <w:pPr>
              <w:rPr>
                <w:rFonts w:eastAsia="Times New Roman" w:cs="Times New Roman"/>
                <w:b/>
                <w:bCs/>
                <w:sz w:val="20"/>
                <w:szCs w:val="20"/>
                <w:lang w:eastAsia="nl-BE"/>
              </w:rPr>
            </w:pPr>
            <w:r w:rsidRPr="003C6CE9">
              <w:rPr>
                <w:rFonts w:eastAsia="Times New Roman" w:cs="Times New Roman"/>
                <w:b/>
                <w:bCs/>
                <w:sz w:val="20"/>
                <w:szCs w:val="20"/>
                <w:lang w:eastAsia="nl-BE"/>
              </w:rPr>
              <w:t>5.2 Equipment (supply and availability)</w:t>
            </w:r>
          </w:p>
        </w:tc>
        <w:tc>
          <w:tcPr>
            <w:tcW w:w="4563" w:type="dxa"/>
          </w:tcPr>
          <w:p w14:paraId="675EB1AF" w14:textId="77777777" w:rsidR="00D73F0F" w:rsidRPr="003C6CE9" w:rsidRDefault="00D73F0F" w:rsidP="00A47C20">
            <w:pPr>
              <w:rPr>
                <w:sz w:val="20"/>
                <w:szCs w:val="20"/>
              </w:rPr>
            </w:pPr>
            <w:r w:rsidRPr="003C6CE9">
              <w:rPr>
                <w:sz w:val="20"/>
                <w:szCs w:val="20"/>
              </w:rPr>
              <w:t>Is equipment for NCDs supplied and available within primary healthcare?</w:t>
            </w:r>
          </w:p>
          <w:p w14:paraId="675EB1B0" w14:textId="77777777" w:rsidR="00D73F0F" w:rsidRPr="003C6CE9" w:rsidRDefault="00D73F0F" w:rsidP="00A47C20">
            <w:pPr>
              <w:rPr>
                <w:sz w:val="20"/>
                <w:szCs w:val="20"/>
              </w:rPr>
            </w:pPr>
          </w:p>
        </w:tc>
      </w:tr>
      <w:tr w:rsidR="00D73F0F" w:rsidRPr="003C6CE9" w14:paraId="675EB1B4" w14:textId="77777777" w:rsidTr="00A47C20">
        <w:tc>
          <w:tcPr>
            <w:tcW w:w="4453" w:type="dxa"/>
            <w:shd w:val="clear" w:color="auto" w:fill="DDD9C3" w:themeFill="background2" w:themeFillShade="E6"/>
          </w:tcPr>
          <w:p w14:paraId="675EB1B2" w14:textId="77777777" w:rsidR="00D73F0F" w:rsidRPr="003C6CE9" w:rsidRDefault="00D73F0F" w:rsidP="00A47C20">
            <w:pPr>
              <w:tabs>
                <w:tab w:val="left" w:pos="1630"/>
              </w:tabs>
              <w:rPr>
                <w:rFonts w:eastAsia="Times New Roman" w:cs="Times New Roman"/>
                <w:b/>
                <w:bCs/>
                <w:sz w:val="20"/>
                <w:szCs w:val="20"/>
                <w:lang w:eastAsia="nl-BE"/>
              </w:rPr>
            </w:pPr>
            <w:r w:rsidRPr="003C6CE9">
              <w:rPr>
                <w:rFonts w:eastAsia="Times New Roman" w:cs="Times New Roman"/>
                <w:b/>
                <w:bCs/>
                <w:sz w:val="20"/>
                <w:szCs w:val="20"/>
                <w:lang w:eastAsia="nl-BE"/>
              </w:rPr>
              <w:t>6. Health information system(s)</w:t>
            </w:r>
            <w:r w:rsidRPr="003C6CE9">
              <w:rPr>
                <w:rFonts w:eastAsia="Times New Roman" w:cs="Times New Roman"/>
                <w:b/>
                <w:bCs/>
                <w:sz w:val="20"/>
                <w:szCs w:val="20"/>
                <w:lang w:eastAsia="nl-BE"/>
              </w:rPr>
              <w:tab/>
            </w:r>
          </w:p>
        </w:tc>
        <w:tc>
          <w:tcPr>
            <w:tcW w:w="4563" w:type="dxa"/>
            <w:shd w:val="clear" w:color="auto" w:fill="DDD9C3" w:themeFill="background2" w:themeFillShade="E6"/>
          </w:tcPr>
          <w:p w14:paraId="675EB1B3" w14:textId="77777777" w:rsidR="00D73F0F" w:rsidRPr="003C6CE9" w:rsidRDefault="00D73F0F" w:rsidP="001800A5">
            <w:pPr>
              <w:rPr>
                <w:sz w:val="20"/>
                <w:szCs w:val="20"/>
              </w:rPr>
            </w:pPr>
            <w:r w:rsidRPr="003C6CE9">
              <w:rPr>
                <w:sz w:val="20"/>
                <w:szCs w:val="20"/>
              </w:rPr>
              <w:t>“Sound and reliable information is the foundation of decision-making across all health system building blocks. It is essential for health system policy development and implementation, governance and regulation, health research, human resources development, health education and training, service delivery and financing. [...] The health information system provides the underpinnings for decision-making and has four key functions: (</w:t>
            </w:r>
            <w:proofErr w:type="spellStart"/>
            <w:r w:rsidRPr="003C6CE9">
              <w:rPr>
                <w:sz w:val="20"/>
                <w:szCs w:val="20"/>
              </w:rPr>
              <w:t>i</w:t>
            </w:r>
            <w:proofErr w:type="spellEnd"/>
            <w:r w:rsidRPr="003C6CE9">
              <w:rPr>
                <w:sz w:val="20"/>
                <w:szCs w:val="20"/>
              </w:rPr>
              <w:t xml:space="preserve">) data generation, (ii) compilation, (iii) analysis and synthesis, and (iv) communication and use. [...] It is sometimes equated with monitoring and </w:t>
            </w:r>
            <w:proofErr w:type="gramStart"/>
            <w:r w:rsidRPr="003C6CE9">
              <w:rPr>
                <w:sz w:val="20"/>
                <w:szCs w:val="20"/>
              </w:rPr>
              <w:t>evaluation</w:t>
            </w:r>
            <w:proofErr w:type="gramEnd"/>
            <w:r w:rsidRPr="003C6CE9">
              <w:rPr>
                <w:sz w:val="20"/>
                <w:szCs w:val="20"/>
              </w:rPr>
              <w:t xml:space="preserve"> but this is too reductionist a perspective. In addition to being essential for monitoring and evaluation, the information system also serves broader objectives, such as providing an alert and early warning capability, supporting patient and health facility management, enabling planning, </w:t>
            </w:r>
            <w:proofErr w:type="gramStart"/>
            <w:r w:rsidRPr="003C6CE9">
              <w:rPr>
                <w:sz w:val="20"/>
                <w:szCs w:val="20"/>
              </w:rPr>
              <w:t>underpinning</w:t>
            </w:r>
            <w:proofErr w:type="gramEnd"/>
            <w:r w:rsidRPr="003C6CE9">
              <w:rPr>
                <w:sz w:val="20"/>
                <w:szCs w:val="20"/>
              </w:rPr>
              <w:t xml:space="preserve"> and stimulating research, permitting health situation and trends analyses, orienting global reporting, and reinforcing communication of health challenges to diverse users.” </w:t>
            </w:r>
            <w:r>
              <w:rPr>
                <w:noProof/>
                <w:sz w:val="20"/>
                <w:szCs w:val="20"/>
              </w:rPr>
              <w:t>[1]</w:t>
            </w:r>
            <w:r w:rsidRPr="003C6CE9">
              <w:rPr>
                <w:sz w:val="20"/>
                <w:szCs w:val="20"/>
              </w:rPr>
              <w:t>.</w:t>
            </w:r>
          </w:p>
        </w:tc>
      </w:tr>
      <w:tr w:rsidR="00D73F0F" w:rsidRPr="003C6CE9" w14:paraId="675EB1B7" w14:textId="77777777" w:rsidTr="00A47C20">
        <w:tc>
          <w:tcPr>
            <w:tcW w:w="4453" w:type="dxa"/>
          </w:tcPr>
          <w:p w14:paraId="675EB1B5" w14:textId="77777777" w:rsidR="00D73F0F" w:rsidRPr="003C6CE9" w:rsidRDefault="00D73F0F" w:rsidP="00A47C20">
            <w:pPr>
              <w:rPr>
                <w:rFonts w:eastAsia="Times New Roman" w:cs="Times New Roman"/>
                <w:b/>
                <w:bCs/>
                <w:sz w:val="20"/>
                <w:szCs w:val="20"/>
                <w:lang w:eastAsia="nl-BE"/>
              </w:rPr>
            </w:pPr>
            <w:r w:rsidRPr="003C6CE9">
              <w:rPr>
                <w:rFonts w:eastAsia="Times New Roman" w:cs="Times New Roman"/>
                <w:b/>
                <w:bCs/>
                <w:sz w:val="20"/>
                <w:szCs w:val="20"/>
                <w:lang w:eastAsia="nl-BE"/>
              </w:rPr>
              <w:t>6.1 E-health / digital health</w:t>
            </w:r>
          </w:p>
        </w:tc>
        <w:tc>
          <w:tcPr>
            <w:tcW w:w="4563" w:type="dxa"/>
          </w:tcPr>
          <w:p w14:paraId="675EB1B6" w14:textId="77777777" w:rsidR="00D73F0F" w:rsidRPr="003C6CE9" w:rsidRDefault="00D73F0F" w:rsidP="00A47C20">
            <w:pPr>
              <w:rPr>
                <w:sz w:val="20"/>
                <w:szCs w:val="20"/>
              </w:rPr>
            </w:pPr>
            <w:r w:rsidRPr="003C6CE9">
              <w:rPr>
                <w:sz w:val="20"/>
                <w:szCs w:val="20"/>
              </w:rPr>
              <w:t xml:space="preserve">The approach (specific plans, </w:t>
            </w:r>
            <w:proofErr w:type="gramStart"/>
            <w:r w:rsidRPr="003C6CE9">
              <w:rPr>
                <w:sz w:val="20"/>
                <w:szCs w:val="20"/>
              </w:rPr>
              <w:t>projects</w:t>
            </w:r>
            <w:proofErr w:type="gramEnd"/>
            <w:r w:rsidRPr="003C6CE9">
              <w:rPr>
                <w:sz w:val="20"/>
                <w:szCs w:val="20"/>
              </w:rPr>
              <w:t xml:space="preserve"> and initiatives) surrounding the digitalisation of health data and the development and use of digital platforms for sharing health information.</w:t>
            </w:r>
          </w:p>
        </w:tc>
      </w:tr>
      <w:tr w:rsidR="00D73F0F" w:rsidRPr="003C6CE9" w14:paraId="675EB1BB" w14:textId="77777777" w:rsidTr="00A47C20">
        <w:tc>
          <w:tcPr>
            <w:tcW w:w="4453" w:type="dxa"/>
          </w:tcPr>
          <w:p w14:paraId="675EB1B8" w14:textId="77777777" w:rsidR="00D73F0F" w:rsidRPr="003C6CE9" w:rsidRDefault="00D73F0F" w:rsidP="00A47C20">
            <w:pPr>
              <w:rPr>
                <w:rFonts w:eastAsia="Times New Roman" w:cs="Times New Roman"/>
                <w:b/>
                <w:bCs/>
                <w:sz w:val="20"/>
                <w:szCs w:val="20"/>
                <w:lang w:eastAsia="nl-BE"/>
              </w:rPr>
            </w:pPr>
            <w:r w:rsidRPr="003C6CE9">
              <w:rPr>
                <w:rFonts w:eastAsia="Times New Roman" w:cs="Times New Roman"/>
                <w:b/>
                <w:bCs/>
                <w:sz w:val="20"/>
                <w:szCs w:val="20"/>
                <w:lang w:eastAsia="nl-BE"/>
              </w:rPr>
              <w:t>6.2 Data availability, registration &amp; monitoring</w:t>
            </w:r>
          </w:p>
        </w:tc>
        <w:tc>
          <w:tcPr>
            <w:tcW w:w="4563" w:type="dxa"/>
          </w:tcPr>
          <w:p w14:paraId="675EB1B9" w14:textId="77777777" w:rsidR="00D73F0F" w:rsidRPr="003C6CE9" w:rsidRDefault="00D73F0F" w:rsidP="00A47C20">
            <w:pPr>
              <w:rPr>
                <w:color w:val="FF0000"/>
                <w:sz w:val="20"/>
                <w:szCs w:val="20"/>
              </w:rPr>
            </w:pPr>
            <w:r w:rsidRPr="003C6CE9">
              <w:rPr>
                <w:sz w:val="20"/>
                <w:szCs w:val="20"/>
              </w:rPr>
              <w:t>Data collected (in registers, public health accounts etc</w:t>
            </w:r>
            <w:r>
              <w:rPr>
                <w:sz w:val="20"/>
                <w:szCs w:val="20"/>
              </w:rPr>
              <w:t>.</w:t>
            </w:r>
            <w:r w:rsidRPr="003C6CE9">
              <w:rPr>
                <w:sz w:val="20"/>
                <w:szCs w:val="20"/>
              </w:rPr>
              <w:t xml:space="preserve">) usually for service monitoring, planning and feedback, </w:t>
            </w:r>
            <w:proofErr w:type="gramStart"/>
            <w:r w:rsidRPr="003C6CE9">
              <w:rPr>
                <w:sz w:val="20"/>
                <w:szCs w:val="20"/>
              </w:rPr>
              <w:t>e.g.</w:t>
            </w:r>
            <w:proofErr w:type="gramEnd"/>
            <w:r w:rsidRPr="003C6CE9">
              <w:rPr>
                <w:sz w:val="20"/>
                <w:szCs w:val="20"/>
              </w:rPr>
              <w:t xml:space="preserve"> using administrative, performance, clinical data</w:t>
            </w:r>
          </w:p>
          <w:p w14:paraId="675EB1BA" w14:textId="77777777" w:rsidR="00D73F0F" w:rsidRPr="003C6CE9" w:rsidRDefault="00D73F0F" w:rsidP="00A47C20">
            <w:pPr>
              <w:rPr>
                <w:sz w:val="20"/>
                <w:szCs w:val="20"/>
                <w:highlight w:val="yellow"/>
              </w:rPr>
            </w:pPr>
          </w:p>
        </w:tc>
      </w:tr>
      <w:tr w:rsidR="00D73F0F" w:rsidRPr="003C6CE9" w14:paraId="675EB1BE" w14:textId="77777777" w:rsidTr="00A47C20">
        <w:tc>
          <w:tcPr>
            <w:tcW w:w="4453" w:type="dxa"/>
          </w:tcPr>
          <w:p w14:paraId="675EB1BC" w14:textId="77777777" w:rsidR="00D73F0F" w:rsidRPr="003C6CE9" w:rsidRDefault="00D73F0F" w:rsidP="00A47C20">
            <w:pPr>
              <w:rPr>
                <w:rFonts w:eastAsia="Times New Roman" w:cs="Times New Roman"/>
                <w:b/>
                <w:bCs/>
                <w:color w:val="FF0000"/>
                <w:sz w:val="20"/>
                <w:szCs w:val="20"/>
                <w:lang w:eastAsia="nl-BE"/>
              </w:rPr>
            </w:pPr>
            <w:r w:rsidRPr="003C6CE9">
              <w:rPr>
                <w:rFonts w:eastAsia="Times New Roman" w:cs="Times New Roman"/>
                <w:b/>
                <w:bCs/>
                <w:sz w:val="20"/>
                <w:szCs w:val="20"/>
                <w:lang w:eastAsia="nl-BE"/>
              </w:rPr>
              <w:lastRenderedPageBreak/>
              <w:t>6.3 Fragmentation of data sources &amp; data sharing</w:t>
            </w:r>
            <w:r w:rsidRPr="003C6CE9">
              <w:rPr>
                <w:rFonts w:eastAsia="Times New Roman" w:cs="Times New Roman"/>
                <w:b/>
                <w:bCs/>
                <w:color w:val="FF0000"/>
                <w:sz w:val="20"/>
                <w:szCs w:val="20"/>
                <w:lang w:eastAsia="nl-BE"/>
              </w:rPr>
              <w:t xml:space="preserve"> </w:t>
            </w:r>
          </w:p>
        </w:tc>
        <w:tc>
          <w:tcPr>
            <w:tcW w:w="4563" w:type="dxa"/>
          </w:tcPr>
          <w:p w14:paraId="675EB1BD" w14:textId="77777777" w:rsidR="00D73F0F" w:rsidRPr="003C6CE9" w:rsidRDefault="00D73F0F" w:rsidP="001800A5">
            <w:pPr>
              <w:rPr>
                <w:sz w:val="20"/>
                <w:szCs w:val="20"/>
              </w:rPr>
            </w:pPr>
            <w:r w:rsidRPr="003C6CE9">
              <w:rPr>
                <w:sz w:val="20"/>
                <w:szCs w:val="20"/>
              </w:rPr>
              <w:t>Data (e.g., administrative, performance, clinical) is tracked and shared with stakeholders in shared/joint information systems across sectors and shared patient electronic charts across continuum of care accessible to patients</w:t>
            </w:r>
            <w:r w:rsidRPr="003C6CE9">
              <w:rPr>
                <w:rFonts w:eastAsia="Times New Roman" w:cs="Times New Roman"/>
                <w:b/>
                <w:bCs/>
                <w:sz w:val="20"/>
                <w:szCs w:val="20"/>
                <w:lang w:eastAsia="nl-BE"/>
              </w:rPr>
              <w:t xml:space="preserve"> </w:t>
            </w:r>
            <w:r>
              <w:rPr>
                <w:rFonts w:eastAsia="Times New Roman" w:cs="Times New Roman"/>
                <w:bCs/>
                <w:noProof/>
                <w:sz w:val="20"/>
                <w:szCs w:val="20"/>
                <w:lang w:eastAsia="nl-BE"/>
              </w:rPr>
              <w:t>[20]</w:t>
            </w:r>
            <w:r w:rsidRPr="00743401" w:rsidDel="00743401">
              <w:rPr>
                <w:rFonts w:eastAsia="Times New Roman" w:cs="Times New Roman"/>
                <w:bCs/>
                <w:sz w:val="20"/>
                <w:szCs w:val="20"/>
                <w:lang w:eastAsia="nl-BE"/>
              </w:rPr>
              <w:t xml:space="preserve"> </w:t>
            </w:r>
          </w:p>
        </w:tc>
      </w:tr>
      <w:tr w:rsidR="00D73F0F" w:rsidRPr="003C6CE9" w14:paraId="675EB1C1" w14:textId="77777777" w:rsidTr="00A47C20">
        <w:tc>
          <w:tcPr>
            <w:tcW w:w="4453" w:type="dxa"/>
            <w:shd w:val="clear" w:color="auto" w:fill="DDD9C3" w:themeFill="background2" w:themeFillShade="E6"/>
          </w:tcPr>
          <w:p w14:paraId="675EB1BF" w14:textId="77777777" w:rsidR="00D73F0F" w:rsidRPr="003C6CE9" w:rsidRDefault="00D73F0F" w:rsidP="00A47C20">
            <w:pPr>
              <w:rPr>
                <w:rFonts w:eastAsia="Times New Roman" w:cs="Times New Roman"/>
                <w:b/>
                <w:bCs/>
                <w:sz w:val="20"/>
                <w:szCs w:val="20"/>
                <w:lang w:eastAsia="nl-BE"/>
              </w:rPr>
            </w:pPr>
            <w:r w:rsidRPr="003C6CE9">
              <w:rPr>
                <w:rFonts w:eastAsia="Times New Roman" w:cs="Times New Roman"/>
                <w:b/>
                <w:bCs/>
                <w:sz w:val="20"/>
                <w:szCs w:val="20"/>
                <w:lang w:eastAsia="nl-BE"/>
              </w:rPr>
              <w:t>7. Linkage health system-community (demand side)</w:t>
            </w:r>
          </w:p>
        </w:tc>
        <w:tc>
          <w:tcPr>
            <w:tcW w:w="4563" w:type="dxa"/>
            <w:shd w:val="clear" w:color="auto" w:fill="DDD9C3" w:themeFill="background2" w:themeFillShade="E6"/>
          </w:tcPr>
          <w:p w14:paraId="675EB1C0" w14:textId="77777777" w:rsidR="00D73F0F" w:rsidRPr="003C6CE9" w:rsidRDefault="00D73F0F" w:rsidP="001800A5">
            <w:pPr>
              <w:rPr>
                <w:sz w:val="20"/>
                <w:szCs w:val="20"/>
              </w:rPr>
            </w:pPr>
            <w:r w:rsidRPr="003C6CE9">
              <w:rPr>
                <w:sz w:val="20"/>
                <w:szCs w:val="20"/>
              </w:rPr>
              <w:t xml:space="preserve">The original WHO health system building blocks only had 6 building blocks </w:t>
            </w:r>
            <w:r>
              <w:rPr>
                <w:noProof/>
                <w:sz w:val="20"/>
                <w:szCs w:val="20"/>
              </w:rPr>
              <w:t>[1]</w:t>
            </w:r>
            <w:r w:rsidRPr="003C6CE9">
              <w:rPr>
                <w:sz w:val="20"/>
                <w:szCs w:val="20"/>
              </w:rPr>
              <w:t xml:space="preserve">, later a ‘people’ dimension was added </w:t>
            </w:r>
            <w:r>
              <w:rPr>
                <w:noProof/>
                <w:sz w:val="20"/>
                <w:szCs w:val="20"/>
              </w:rPr>
              <w:t>[6, 28]</w:t>
            </w:r>
            <w:r w:rsidRPr="003C6CE9">
              <w:rPr>
                <w:sz w:val="20"/>
                <w:szCs w:val="20"/>
              </w:rPr>
              <w:t xml:space="preserve">. These are collaborators and </w:t>
            </w:r>
            <w:proofErr w:type="gramStart"/>
            <w:r w:rsidRPr="003C6CE9">
              <w:rPr>
                <w:sz w:val="20"/>
                <w:szCs w:val="20"/>
              </w:rPr>
              <w:t>partners</w:t>
            </w:r>
            <w:proofErr w:type="gramEnd"/>
            <w:r w:rsidRPr="003C6CE9">
              <w:rPr>
                <w:sz w:val="20"/>
                <w:szCs w:val="20"/>
              </w:rPr>
              <w:t xml:space="preserve"> and this demand side perspective is often neglected </w:t>
            </w:r>
            <w:r>
              <w:rPr>
                <w:noProof/>
                <w:sz w:val="20"/>
                <w:szCs w:val="20"/>
              </w:rPr>
              <w:t>[29]</w:t>
            </w:r>
            <w:r w:rsidRPr="003C6CE9">
              <w:rPr>
                <w:sz w:val="20"/>
                <w:szCs w:val="20"/>
              </w:rPr>
              <w:t xml:space="preserve">. </w:t>
            </w:r>
          </w:p>
        </w:tc>
      </w:tr>
      <w:tr w:rsidR="00D73F0F" w:rsidRPr="003C6CE9" w14:paraId="675EB1C4" w14:textId="77777777" w:rsidTr="00A47C20">
        <w:tc>
          <w:tcPr>
            <w:tcW w:w="4453" w:type="dxa"/>
          </w:tcPr>
          <w:p w14:paraId="675EB1C2" w14:textId="77777777" w:rsidR="00D73F0F" w:rsidRPr="003C6CE9" w:rsidRDefault="00D73F0F" w:rsidP="00A47C20">
            <w:pPr>
              <w:rPr>
                <w:rFonts w:eastAsia="Times New Roman" w:cs="Times New Roman"/>
                <w:b/>
                <w:bCs/>
                <w:sz w:val="20"/>
                <w:szCs w:val="20"/>
                <w:lang w:eastAsia="nl-BE"/>
              </w:rPr>
            </w:pPr>
            <w:r w:rsidRPr="003C6CE9">
              <w:rPr>
                <w:rFonts w:eastAsia="Times New Roman" w:cs="Times New Roman"/>
                <w:b/>
                <w:bCs/>
                <w:sz w:val="20"/>
                <w:szCs w:val="20"/>
                <w:lang w:eastAsia="nl-BE"/>
              </w:rPr>
              <w:t>7.1 Role of community organisations (formal-informal) and the community health workers (CHW)</w:t>
            </w:r>
          </w:p>
        </w:tc>
        <w:tc>
          <w:tcPr>
            <w:tcW w:w="4563" w:type="dxa"/>
          </w:tcPr>
          <w:p w14:paraId="675EB1C3" w14:textId="77777777" w:rsidR="00D73F0F" w:rsidRPr="003C6CE9" w:rsidRDefault="00D73F0F" w:rsidP="00A47C20">
            <w:pPr>
              <w:rPr>
                <w:sz w:val="20"/>
                <w:szCs w:val="20"/>
              </w:rPr>
            </w:pPr>
            <w:r w:rsidRPr="003C6CE9">
              <w:rPr>
                <w:sz w:val="20"/>
                <w:szCs w:val="20"/>
              </w:rPr>
              <w:t>Who are they? What is their role? Which barrier do they aim to fill/address?</w:t>
            </w:r>
          </w:p>
        </w:tc>
      </w:tr>
      <w:tr w:rsidR="00D73F0F" w:rsidRPr="003C6CE9" w14:paraId="675EB1C7" w14:textId="77777777" w:rsidTr="00A47C20">
        <w:tc>
          <w:tcPr>
            <w:tcW w:w="4453" w:type="dxa"/>
          </w:tcPr>
          <w:p w14:paraId="675EB1C5" w14:textId="77777777" w:rsidR="00D73F0F" w:rsidRPr="003C6CE9" w:rsidRDefault="00D73F0F" w:rsidP="00A47C20">
            <w:pPr>
              <w:rPr>
                <w:rFonts w:eastAsia="Times New Roman" w:cs="Times New Roman"/>
                <w:b/>
                <w:bCs/>
                <w:sz w:val="20"/>
                <w:szCs w:val="20"/>
                <w:lang w:eastAsia="nl-BE"/>
              </w:rPr>
            </w:pPr>
            <w:r w:rsidRPr="003C6CE9">
              <w:rPr>
                <w:rFonts w:eastAsia="Times New Roman" w:cs="Times New Roman"/>
                <w:b/>
                <w:bCs/>
                <w:sz w:val="20"/>
                <w:szCs w:val="20"/>
                <w:lang w:eastAsia="nl-BE"/>
              </w:rPr>
              <w:t>7.2 Role of the patient / public</w:t>
            </w:r>
          </w:p>
        </w:tc>
        <w:tc>
          <w:tcPr>
            <w:tcW w:w="4563" w:type="dxa"/>
          </w:tcPr>
          <w:p w14:paraId="675EB1C6" w14:textId="77777777" w:rsidR="00D73F0F" w:rsidRPr="003C6CE9" w:rsidRDefault="00D73F0F" w:rsidP="00A47C20">
            <w:pPr>
              <w:rPr>
                <w:sz w:val="20"/>
                <w:szCs w:val="20"/>
              </w:rPr>
            </w:pPr>
            <w:r w:rsidRPr="003C6CE9">
              <w:rPr>
                <w:sz w:val="20"/>
                <w:szCs w:val="20"/>
              </w:rPr>
              <w:t>What is their role in the healthcare system and in health system governance? Active or passive? And what are implications?</w:t>
            </w:r>
          </w:p>
        </w:tc>
      </w:tr>
      <w:tr w:rsidR="00D73F0F" w:rsidRPr="003C6CE9" w14:paraId="675EB1CA" w14:textId="77777777" w:rsidTr="00A47C20">
        <w:tc>
          <w:tcPr>
            <w:tcW w:w="4453" w:type="dxa"/>
          </w:tcPr>
          <w:p w14:paraId="675EB1C8" w14:textId="77777777" w:rsidR="00D73F0F" w:rsidRPr="003C6CE9" w:rsidRDefault="00D73F0F" w:rsidP="00A47C20">
            <w:pPr>
              <w:rPr>
                <w:rFonts w:eastAsia="Times New Roman" w:cs="Times New Roman"/>
                <w:b/>
                <w:bCs/>
                <w:sz w:val="20"/>
                <w:szCs w:val="20"/>
                <w:lang w:eastAsia="nl-BE"/>
              </w:rPr>
            </w:pPr>
            <w:r w:rsidRPr="003C6CE9">
              <w:rPr>
                <w:rFonts w:eastAsia="Times New Roman" w:cs="Times New Roman"/>
                <w:b/>
                <w:bCs/>
                <w:sz w:val="20"/>
                <w:szCs w:val="20"/>
                <w:lang w:eastAsia="nl-BE"/>
              </w:rPr>
              <w:t>7.3 Role of the informal caregiver</w:t>
            </w:r>
          </w:p>
        </w:tc>
        <w:tc>
          <w:tcPr>
            <w:tcW w:w="4563" w:type="dxa"/>
          </w:tcPr>
          <w:p w14:paraId="675EB1C9" w14:textId="77777777" w:rsidR="00D73F0F" w:rsidRPr="003C6CE9" w:rsidRDefault="00D73F0F" w:rsidP="00A47C20">
            <w:pPr>
              <w:rPr>
                <w:sz w:val="20"/>
                <w:szCs w:val="20"/>
              </w:rPr>
            </w:pPr>
            <w:r w:rsidRPr="003C6CE9">
              <w:rPr>
                <w:sz w:val="20"/>
                <w:szCs w:val="20"/>
              </w:rPr>
              <w:t>The informal caregiver is family, friends, neighbours etc. What is their role in the healthcare system and in health system governance? Active or passive? And what are implications?</w:t>
            </w:r>
          </w:p>
        </w:tc>
      </w:tr>
      <w:tr w:rsidR="00D73F0F" w:rsidRPr="003C6CE9" w14:paraId="675EB1CD" w14:textId="77777777" w:rsidTr="00A47C20">
        <w:tc>
          <w:tcPr>
            <w:tcW w:w="4453" w:type="dxa"/>
          </w:tcPr>
          <w:p w14:paraId="675EB1CB" w14:textId="77777777" w:rsidR="00D73F0F" w:rsidRPr="003C6CE9" w:rsidRDefault="00D73F0F" w:rsidP="00A47C20">
            <w:pPr>
              <w:rPr>
                <w:rFonts w:eastAsia="Times New Roman" w:cs="Times New Roman"/>
                <w:b/>
                <w:bCs/>
                <w:sz w:val="20"/>
                <w:szCs w:val="20"/>
                <w:lang w:eastAsia="nl-BE"/>
              </w:rPr>
            </w:pPr>
            <w:r w:rsidRPr="003C6CE9">
              <w:rPr>
                <w:rFonts w:eastAsia="Times New Roman" w:cs="Times New Roman"/>
                <w:b/>
                <w:bCs/>
                <w:sz w:val="20"/>
                <w:szCs w:val="20"/>
                <w:lang w:eastAsia="nl-BE"/>
              </w:rPr>
              <w:t>7.4 Linkage care sector and community</w:t>
            </w:r>
          </w:p>
        </w:tc>
        <w:tc>
          <w:tcPr>
            <w:tcW w:w="4563" w:type="dxa"/>
          </w:tcPr>
          <w:p w14:paraId="675EB1CC" w14:textId="77777777" w:rsidR="00D73F0F" w:rsidRPr="003C6CE9" w:rsidRDefault="00D73F0F" w:rsidP="00A47C20">
            <w:pPr>
              <w:rPr>
                <w:sz w:val="20"/>
                <w:szCs w:val="20"/>
              </w:rPr>
            </w:pPr>
            <w:r w:rsidRPr="003C6CE9">
              <w:rPr>
                <w:sz w:val="20"/>
                <w:szCs w:val="20"/>
              </w:rPr>
              <w:t>How do they work together?</w:t>
            </w:r>
          </w:p>
        </w:tc>
      </w:tr>
      <w:bookmarkEnd w:id="0"/>
    </w:tbl>
    <w:p w14:paraId="675EB1CE" w14:textId="77777777" w:rsidR="00D73F0F" w:rsidRDefault="00D73F0F" w:rsidP="002850FE">
      <w:pPr>
        <w:pStyle w:val="Heading2"/>
      </w:pPr>
    </w:p>
    <w:p w14:paraId="675EB1CF" w14:textId="77777777" w:rsidR="00D73F0F" w:rsidRDefault="00D73F0F" w:rsidP="003B38AC">
      <w:r>
        <w:t>References</w:t>
      </w:r>
    </w:p>
    <w:p w14:paraId="675EB1D0" w14:textId="77777777" w:rsidR="00D73F0F" w:rsidRDefault="00D73F0F" w:rsidP="003B38AC"/>
    <w:p w14:paraId="675EB1D1" w14:textId="77777777" w:rsidR="00D73F0F" w:rsidRPr="001800A5" w:rsidRDefault="00D73F0F" w:rsidP="001800A5">
      <w:pPr>
        <w:spacing w:after="0" w:line="240" w:lineRule="auto"/>
        <w:rPr>
          <w:rFonts w:cs="Times New Roman"/>
          <w:noProof/>
        </w:rPr>
      </w:pPr>
      <w:bookmarkStart w:id="1" w:name="_ENREF_1"/>
      <w:r w:rsidRPr="001800A5">
        <w:rPr>
          <w:rFonts w:cs="Times New Roman"/>
          <w:noProof/>
        </w:rPr>
        <w:t>1.</w:t>
      </w:r>
      <w:r w:rsidRPr="001800A5">
        <w:rPr>
          <w:rFonts w:cs="Times New Roman"/>
          <w:noProof/>
        </w:rPr>
        <w:tab/>
        <w:t>World Health Organization. Monitoring the building blocks of health systems: a handbook of indicators and their measurement strategies. Geneva: World Health Organization; 2010 [1 April 2023]; Available from: https://apps.who.int/iris/handle/10665/258734.</w:t>
      </w:r>
      <w:bookmarkEnd w:id="1"/>
    </w:p>
    <w:p w14:paraId="675EB1D2" w14:textId="77777777" w:rsidR="00D73F0F" w:rsidRPr="001800A5" w:rsidRDefault="00D73F0F" w:rsidP="001800A5">
      <w:pPr>
        <w:spacing w:after="0" w:line="240" w:lineRule="auto"/>
        <w:rPr>
          <w:rFonts w:cs="Times New Roman"/>
          <w:noProof/>
        </w:rPr>
      </w:pPr>
      <w:bookmarkStart w:id="2" w:name="_ENREF_2"/>
      <w:r w:rsidRPr="001800A5">
        <w:rPr>
          <w:rFonts w:cs="Times New Roman"/>
          <w:noProof/>
        </w:rPr>
        <w:t>2.</w:t>
      </w:r>
      <w:r w:rsidRPr="001800A5">
        <w:rPr>
          <w:rFonts w:cs="Times New Roman"/>
          <w:noProof/>
        </w:rPr>
        <w:tab/>
        <w:t>Zürn M. Global governance as multi-level governance. In: Henrik E, Sonja W, Michael Z, editors. Handbook on Multi-level Governance. Cheltenham, UK • Northampton, MA, USA: Edward Elgar Publishing Limited; 2010.</w:t>
      </w:r>
      <w:bookmarkEnd w:id="2"/>
    </w:p>
    <w:p w14:paraId="675EB1D3" w14:textId="77777777" w:rsidR="00D73F0F" w:rsidRPr="001800A5" w:rsidRDefault="00D73F0F" w:rsidP="001800A5">
      <w:pPr>
        <w:spacing w:after="0" w:line="240" w:lineRule="auto"/>
        <w:rPr>
          <w:rFonts w:cs="Times New Roman"/>
          <w:noProof/>
        </w:rPr>
      </w:pPr>
      <w:bookmarkStart w:id="3" w:name="_ENREF_3"/>
      <w:r w:rsidRPr="001800A5">
        <w:rPr>
          <w:rFonts w:cs="Times New Roman"/>
          <w:noProof/>
        </w:rPr>
        <w:t>3.</w:t>
      </w:r>
      <w:r w:rsidRPr="001800A5">
        <w:rPr>
          <w:rFonts w:cs="Times New Roman"/>
          <w:noProof/>
        </w:rPr>
        <w:tab/>
        <w:t>Bigdeli M, Rouffy B, Lane BD, Schmets G, Soucat A. Health systems governance: the missing links. BMJ Glob Health. 2020;5(8). Epub 2020/08/14. DOI: 10.1136/bmjgh-2020-002533</w:t>
      </w:r>
      <w:bookmarkEnd w:id="3"/>
    </w:p>
    <w:p w14:paraId="675EB1D4" w14:textId="77777777" w:rsidR="00D73F0F" w:rsidRPr="001800A5" w:rsidRDefault="00D73F0F" w:rsidP="001800A5">
      <w:pPr>
        <w:spacing w:after="0" w:line="240" w:lineRule="auto"/>
        <w:rPr>
          <w:rFonts w:cs="Times New Roman"/>
          <w:noProof/>
        </w:rPr>
      </w:pPr>
      <w:bookmarkStart w:id="4" w:name="_ENREF_4"/>
      <w:r w:rsidRPr="001800A5">
        <w:rPr>
          <w:rFonts w:cs="Times New Roman"/>
          <w:noProof/>
        </w:rPr>
        <w:t>4.</w:t>
      </w:r>
      <w:r w:rsidRPr="001800A5">
        <w:rPr>
          <w:rFonts w:cs="Times New Roman"/>
          <w:noProof/>
        </w:rPr>
        <w:tab/>
        <w:t>Lehmann U, Gilson L. Action learning for health system governance: the reward and challenge of co-production. Health Policy Plan. 2015;30(8):957-63. Epub 2014/08/28. DOI: 10.1093/heapol/czu097</w:t>
      </w:r>
      <w:bookmarkEnd w:id="4"/>
    </w:p>
    <w:p w14:paraId="675EB1D5" w14:textId="77777777" w:rsidR="00D73F0F" w:rsidRPr="001800A5" w:rsidRDefault="00D73F0F" w:rsidP="001800A5">
      <w:pPr>
        <w:spacing w:after="0" w:line="240" w:lineRule="auto"/>
        <w:rPr>
          <w:rFonts w:cs="Times New Roman"/>
          <w:noProof/>
        </w:rPr>
      </w:pPr>
      <w:bookmarkStart w:id="5" w:name="_ENREF_5"/>
      <w:r w:rsidRPr="001800A5">
        <w:rPr>
          <w:rFonts w:cs="Times New Roman"/>
          <w:noProof/>
        </w:rPr>
        <w:t>5.</w:t>
      </w:r>
      <w:r w:rsidRPr="001800A5">
        <w:rPr>
          <w:rFonts w:cs="Times New Roman"/>
          <w:noProof/>
        </w:rPr>
        <w:tab/>
        <w:t>World Health Organization. Health systems governance. Geneva: World Health Organization; 2022 [1 April 2023]; Available from: https://</w:t>
      </w:r>
      <w:r w:rsidRPr="00D73F0F">
        <w:rPr>
          <w:rFonts w:cs="Times New Roman"/>
          <w:noProof/>
        </w:rPr>
        <w:t>www.who.int/health-topics/universal-health-coverage/health-systems-governance#tab=tab_1</w:t>
      </w:r>
      <w:r w:rsidRPr="001800A5">
        <w:rPr>
          <w:rFonts w:cs="Times New Roman"/>
          <w:noProof/>
        </w:rPr>
        <w:t>.</w:t>
      </w:r>
      <w:bookmarkEnd w:id="5"/>
    </w:p>
    <w:p w14:paraId="675EB1D6" w14:textId="77777777" w:rsidR="00D73F0F" w:rsidRPr="001800A5" w:rsidRDefault="00D73F0F" w:rsidP="001800A5">
      <w:pPr>
        <w:spacing w:after="0" w:line="240" w:lineRule="auto"/>
        <w:rPr>
          <w:rFonts w:cs="Times New Roman"/>
          <w:noProof/>
        </w:rPr>
      </w:pPr>
      <w:bookmarkStart w:id="6" w:name="_ENREF_6"/>
      <w:r w:rsidRPr="001800A5">
        <w:rPr>
          <w:rFonts w:cs="Times New Roman"/>
          <w:noProof/>
        </w:rPr>
        <w:t>6.</w:t>
      </w:r>
      <w:r w:rsidRPr="001800A5">
        <w:rPr>
          <w:rFonts w:cs="Times New Roman"/>
          <w:noProof/>
        </w:rPr>
        <w:tab/>
        <w:t>Mikkelsen-Lopez I, Wyss K, de Savigny D. An approach to addressing governance from a health system framework perspective. BMC Int Health Hum Rights. 2011;11:13. Epub 2011/12/06. DOI: 10.1186/1472-698X-11-13</w:t>
      </w:r>
      <w:bookmarkEnd w:id="6"/>
    </w:p>
    <w:p w14:paraId="675EB1D7" w14:textId="77777777" w:rsidR="00D73F0F" w:rsidRPr="001800A5" w:rsidRDefault="00D73F0F" w:rsidP="001800A5">
      <w:pPr>
        <w:spacing w:after="0" w:line="240" w:lineRule="auto"/>
        <w:rPr>
          <w:rFonts w:cs="Times New Roman"/>
          <w:noProof/>
        </w:rPr>
      </w:pPr>
      <w:bookmarkStart w:id="7" w:name="_ENREF_7"/>
      <w:r w:rsidRPr="001800A5">
        <w:rPr>
          <w:rFonts w:cs="Times New Roman"/>
          <w:noProof/>
        </w:rPr>
        <w:lastRenderedPageBreak/>
        <w:t>7.</w:t>
      </w:r>
      <w:r w:rsidRPr="001800A5">
        <w:rPr>
          <w:rFonts w:cs="Times New Roman"/>
          <w:noProof/>
        </w:rPr>
        <w:tab/>
        <w:t>World Health Organization. Everybody's business -- strengthening health systems to improve health outcomes: WHO's framework for action. Geneva: World Health Organization; 2007 [1 April 2023]; Available from: https://apps.who.int/iris/handle/10665/43918.</w:t>
      </w:r>
      <w:bookmarkEnd w:id="7"/>
    </w:p>
    <w:p w14:paraId="675EB1D8" w14:textId="77777777" w:rsidR="00D73F0F" w:rsidRPr="001800A5" w:rsidRDefault="00D73F0F" w:rsidP="001800A5">
      <w:pPr>
        <w:spacing w:after="0" w:line="240" w:lineRule="auto"/>
        <w:rPr>
          <w:rFonts w:cs="Times New Roman"/>
          <w:noProof/>
        </w:rPr>
      </w:pPr>
      <w:bookmarkStart w:id="8" w:name="_ENREF_8"/>
      <w:r w:rsidRPr="001800A5">
        <w:rPr>
          <w:rFonts w:cs="Times New Roman"/>
          <w:noProof/>
        </w:rPr>
        <w:t>8.</w:t>
      </w:r>
      <w:r w:rsidRPr="001800A5">
        <w:rPr>
          <w:rFonts w:cs="Times New Roman"/>
          <w:noProof/>
        </w:rPr>
        <w:tab/>
        <w:t>World Health Assembly. The World Health Report 2000: health systems: improving performance. Geneva: World Health Organization; 2000 [1 April 2023]; Available from: https://apps.who.int/iris/handle/10665/79020.</w:t>
      </w:r>
      <w:bookmarkEnd w:id="8"/>
    </w:p>
    <w:p w14:paraId="675EB1D9" w14:textId="77777777" w:rsidR="00D73F0F" w:rsidRPr="001800A5" w:rsidRDefault="00D73F0F" w:rsidP="001800A5">
      <w:pPr>
        <w:spacing w:after="0" w:line="240" w:lineRule="auto"/>
        <w:rPr>
          <w:rFonts w:cs="Times New Roman"/>
          <w:noProof/>
        </w:rPr>
      </w:pPr>
      <w:bookmarkStart w:id="9" w:name="_ENREF_9"/>
      <w:r w:rsidRPr="001800A5">
        <w:rPr>
          <w:rFonts w:cs="Times New Roman"/>
          <w:noProof/>
        </w:rPr>
        <w:t>9.</w:t>
      </w:r>
      <w:r w:rsidRPr="001800A5">
        <w:rPr>
          <w:rFonts w:cs="Times New Roman"/>
          <w:noProof/>
        </w:rPr>
        <w:tab/>
        <w:t>Minkman MMN. Suitable Scales; Rethinking Scale for Innovative Integrated Care Governance. Int J Integr Care. 2020;20(1):1. Epub 2020/01/15. DOI: 10.5334/ijic.5468</w:t>
      </w:r>
      <w:bookmarkEnd w:id="9"/>
    </w:p>
    <w:p w14:paraId="675EB1DA" w14:textId="77777777" w:rsidR="00D73F0F" w:rsidRPr="001800A5" w:rsidRDefault="00D73F0F" w:rsidP="001800A5">
      <w:pPr>
        <w:spacing w:after="0" w:line="240" w:lineRule="auto"/>
        <w:rPr>
          <w:rFonts w:cs="Times New Roman"/>
          <w:noProof/>
        </w:rPr>
      </w:pPr>
      <w:bookmarkStart w:id="10" w:name="_ENREF_10"/>
      <w:r w:rsidRPr="001800A5">
        <w:rPr>
          <w:rFonts w:cs="Times New Roman"/>
          <w:noProof/>
        </w:rPr>
        <w:t>10.</w:t>
      </w:r>
      <w:r w:rsidRPr="001800A5">
        <w:rPr>
          <w:rFonts w:cs="Times New Roman"/>
          <w:noProof/>
        </w:rPr>
        <w:tab/>
        <w:t>Provan KG, Kenis P. Modes of Network Governance: Structure, Management, and Effectiveness. Journal of Public Administration Research and Theory. 2008;18(2):229-52. DOI: 10.1093/jopart/mum015</w:t>
      </w:r>
      <w:bookmarkEnd w:id="10"/>
    </w:p>
    <w:p w14:paraId="675EB1DB" w14:textId="77777777" w:rsidR="00D73F0F" w:rsidRPr="001800A5" w:rsidRDefault="00D73F0F" w:rsidP="001800A5">
      <w:pPr>
        <w:spacing w:after="0" w:line="240" w:lineRule="auto"/>
        <w:rPr>
          <w:rFonts w:cs="Times New Roman"/>
          <w:noProof/>
        </w:rPr>
      </w:pPr>
      <w:bookmarkStart w:id="11" w:name="_ENREF_11"/>
      <w:r w:rsidRPr="001800A5">
        <w:rPr>
          <w:rFonts w:cs="Times New Roman"/>
          <w:noProof/>
        </w:rPr>
        <w:t>11.</w:t>
      </w:r>
      <w:r w:rsidRPr="001800A5">
        <w:rPr>
          <w:rFonts w:cs="Times New Roman"/>
          <w:noProof/>
        </w:rPr>
        <w:tab/>
        <w:t>Klijn E-H, Koppenjan J. Governance network theory: past, present and future. Policy &amp; Politics. 2012;40(4):587-606. DOI: 10.1332/030557312x655431</w:t>
      </w:r>
      <w:bookmarkEnd w:id="11"/>
    </w:p>
    <w:p w14:paraId="675EB1DC" w14:textId="77777777" w:rsidR="00D73F0F" w:rsidRPr="001800A5" w:rsidRDefault="00D73F0F" w:rsidP="001800A5">
      <w:pPr>
        <w:spacing w:after="0" w:line="240" w:lineRule="auto"/>
        <w:rPr>
          <w:rFonts w:cs="Times New Roman"/>
          <w:noProof/>
        </w:rPr>
      </w:pPr>
      <w:bookmarkStart w:id="12" w:name="_ENREF_12"/>
      <w:r w:rsidRPr="001800A5">
        <w:rPr>
          <w:rFonts w:cs="Times New Roman"/>
          <w:noProof/>
        </w:rPr>
        <w:t>12.</w:t>
      </w:r>
      <w:r w:rsidRPr="001800A5">
        <w:rPr>
          <w:rFonts w:cs="Times New Roman"/>
          <w:noProof/>
        </w:rPr>
        <w:tab/>
        <w:t>Emerson K. Collaborative governance of public health in low- and middle-income countries: lessons from research in public administration. BMJ Glob Health. 2018;3(Suppl 4):e000381. Epub 2018/10/27. DOI: 10.1136/bmjgh-2017-000381</w:t>
      </w:r>
      <w:bookmarkEnd w:id="12"/>
    </w:p>
    <w:p w14:paraId="675EB1DD" w14:textId="77777777" w:rsidR="00D73F0F" w:rsidRPr="001800A5" w:rsidRDefault="00D73F0F" w:rsidP="001800A5">
      <w:pPr>
        <w:spacing w:after="0" w:line="240" w:lineRule="auto"/>
        <w:rPr>
          <w:rFonts w:cs="Times New Roman"/>
          <w:noProof/>
        </w:rPr>
      </w:pPr>
      <w:bookmarkStart w:id="13" w:name="_ENREF_13"/>
      <w:r w:rsidRPr="001800A5">
        <w:rPr>
          <w:rFonts w:cs="Times New Roman"/>
          <w:noProof/>
        </w:rPr>
        <w:t>13.</w:t>
      </w:r>
      <w:r w:rsidRPr="001800A5">
        <w:rPr>
          <w:rFonts w:cs="Times New Roman"/>
          <w:noProof/>
        </w:rPr>
        <w:tab/>
        <w:t>Torfing J, Peters B, Pierre J, Sørensen E. Interactive Governance: Advancing the Paradigm. Oxford, UK: Oxford University Press; 2012.</w:t>
      </w:r>
      <w:bookmarkEnd w:id="13"/>
    </w:p>
    <w:p w14:paraId="675EB1DE" w14:textId="77777777" w:rsidR="00D73F0F" w:rsidRPr="001800A5" w:rsidRDefault="00D73F0F" w:rsidP="001800A5">
      <w:pPr>
        <w:spacing w:after="0" w:line="240" w:lineRule="auto"/>
        <w:rPr>
          <w:rFonts w:cs="Times New Roman"/>
          <w:noProof/>
        </w:rPr>
      </w:pPr>
      <w:bookmarkStart w:id="14" w:name="_ENREF_14"/>
      <w:r w:rsidRPr="001800A5">
        <w:rPr>
          <w:rFonts w:cs="Times New Roman"/>
          <w:noProof/>
        </w:rPr>
        <w:t>14.</w:t>
      </w:r>
      <w:r w:rsidRPr="001800A5">
        <w:rPr>
          <w:rFonts w:cs="Times New Roman"/>
          <w:noProof/>
        </w:rPr>
        <w:tab/>
        <w:t>World health Organization. Voice, agency, empowerment: Handbook on social participation for universal health coverage. Geneva: World health Organization; 2021 [cited 1 April 2023]; Available from: https://</w:t>
      </w:r>
      <w:r w:rsidRPr="00D73F0F">
        <w:rPr>
          <w:rFonts w:cs="Times New Roman"/>
          <w:noProof/>
        </w:rPr>
        <w:t>www.who.int/publications/i/item/9789240027794</w:t>
      </w:r>
      <w:r w:rsidRPr="001800A5">
        <w:rPr>
          <w:rFonts w:cs="Times New Roman"/>
          <w:noProof/>
        </w:rPr>
        <w:t>.</w:t>
      </w:r>
      <w:bookmarkEnd w:id="14"/>
    </w:p>
    <w:p w14:paraId="675EB1DF" w14:textId="77777777" w:rsidR="00D73F0F" w:rsidRPr="001800A5" w:rsidRDefault="00D73F0F" w:rsidP="001800A5">
      <w:pPr>
        <w:spacing w:after="0" w:line="240" w:lineRule="auto"/>
        <w:rPr>
          <w:rFonts w:cs="Times New Roman"/>
          <w:noProof/>
        </w:rPr>
      </w:pPr>
      <w:bookmarkStart w:id="15" w:name="_ENREF_15"/>
      <w:r w:rsidRPr="001800A5">
        <w:rPr>
          <w:rFonts w:cs="Times New Roman"/>
          <w:noProof/>
        </w:rPr>
        <w:t>15.</w:t>
      </w:r>
      <w:r w:rsidRPr="001800A5">
        <w:rPr>
          <w:rFonts w:cs="Times New Roman"/>
          <w:noProof/>
        </w:rPr>
        <w:tab/>
        <w:t>Greer SL, Wismar M, Kosinska M, World Health Organization - Regional Office for Europe. Towards intersectoral governance: lessons learned from health system governance. Public health panorama. 2015;01(02):128-32. DOI: https://apps.who.int/iris/handle/10665/325467</w:t>
      </w:r>
      <w:bookmarkEnd w:id="15"/>
    </w:p>
    <w:p w14:paraId="675EB1E0" w14:textId="77777777" w:rsidR="00D73F0F" w:rsidRPr="001800A5" w:rsidRDefault="00D73F0F" w:rsidP="001800A5">
      <w:pPr>
        <w:spacing w:after="0" w:line="240" w:lineRule="auto"/>
        <w:rPr>
          <w:rFonts w:cs="Times New Roman"/>
          <w:noProof/>
        </w:rPr>
      </w:pPr>
      <w:bookmarkStart w:id="16" w:name="_ENREF_16"/>
      <w:r w:rsidRPr="001800A5">
        <w:rPr>
          <w:rFonts w:cs="Times New Roman"/>
          <w:noProof/>
        </w:rPr>
        <w:t>16.</w:t>
      </w:r>
      <w:r w:rsidRPr="001800A5">
        <w:rPr>
          <w:rFonts w:cs="Times New Roman"/>
          <w:noProof/>
        </w:rPr>
        <w:tab/>
        <w:t>Suter E, Mallinson S. Accountability for coordinated/integrated health services delivery. Copenhagen: WHO Regional Office for Europe; 2015 [1 April 2023]; Available from: https://</w:t>
      </w:r>
      <w:r w:rsidRPr="00D73F0F">
        <w:rPr>
          <w:rFonts w:cs="Times New Roman"/>
          <w:noProof/>
        </w:rPr>
        <w:t>www.euro.who.int/__data/assets/pdf_file/0003/286149/Accountability_for_coordinated_integrated_health_services_delivery.pdf</w:t>
      </w:r>
      <w:r w:rsidRPr="001800A5">
        <w:rPr>
          <w:rFonts w:cs="Times New Roman"/>
          <w:noProof/>
        </w:rPr>
        <w:t>.</w:t>
      </w:r>
      <w:bookmarkEnd w:id="16"/>
    </w:p>
    <w:p w14:paraId="675EB1E1" w14:textId="77777777" w:rsidR="00D73F0F" w:rsidRPr="001800A5" w:rsidRDefault="00D73F0F" w:rsidP="001800A5">
      <w:pPr>
        <w:spacing w:after="0" w:line="240" w:lineRule="auto"/>
        <w:rPr>
          <w:rFonts w:cs="Times New Roman"/>
          <w:noProof/>
        </w:rPr>
      </w:pPr>
      <w:bookmarkStart w:id="17" w:name="_ENREF_17"/>
      <w:r w:rsidRPr="001800A5">
        <w:rPr>
          <w:rFonts w:cs="Times New Roman"/>
          <w:noProof/>
        </w:rPr>
        <w:t>17.</w:t>
      </w:r>
      <w:r w:rsidRPr="001800A5">
        <w:rPr>
          <w:rFonts w:cs="Times New Roman"/>
          <w:noProof/>
        </w:rPr>
        <w:tab/>
        <w:t>Schmeer K. Guidelines for Conducting a Stakeholder Analysis. November 1999. Bethesda, MD: Partnerships for Health Reform, Abt Associates Inc.; 1999 [September 20, 2020]; Available from: https://</w:t>
      </w:r>
      <w:r w:rsidRPr="00D73F0F">
        <w:rPr>
          <w:rFonts w:cs="Times New Roman"/>
          <w:noProof/>
        </w:rPr>
        <w:t>www.who.int/management/partnerships/overall/GuidelinesConductingStakeholderAnalysis.pdf</w:t>
      </w:r>
      <w:r w:rsidRPr="001800A5">
        <w:rPr>
          <w:rFonts w:cs="Times New Roman"/>
          <w:noProof/>
        </w:rPr>
        <w:t>.</w:t>
      </w:r>
      <w:bookmarkEnd w:id="17"/>
    </w:p>
    <w:p w14:paraId="675EB1E2" w14:textId="77777777" w:rsidR="00D73F0F" w:rsidRPr="001800A5" w:rsidRDefault="00D73F0F" w:rsidP="001800A5">
      <w:pPr>
        <w:spacing w:after="0" w:line="240" w:lineRule="auto"/>
        <w:rPr>
          <w:rFonts w:cs="Times New Roman"/>
          <w:noProof/>
        </w:rPr>
      </w:pPr>
      <w:bookmarkStart w:id="18" w:name="_ENREF_18"/>
      <w:r w:rsidRPr="001800A5">
        <w:rPr>
          <w:rFonts w:cs="Times New Roman"/>
          <w:noProof/>
        </w:rPr>
        <w:t>18.</w:t>
      </w:r>
      <w:r w:rsidRPr="001800A5">
        <w:rPr>
          <w:rFonts w:cs="Times New Roman"/>
          <w:noProof/>
        </w:rPr>
        <w:tab/>
        <w:t>Gore RJ, Fox AM, Goldberg AB, Bärnighausen T. Bringing the state back in: Understanding and validating measures of governments' political commitment to HIV. Global Public Health. 2014;9(1-2):98-120. DOI: 10.1080/17441692.2014.881523</w:t>
      </w:r>
      <w:bookmarkEnd w:id="18"/>
    </w:p>
    <w:p w14:paraId="675EB1E3" w14:textId="77777777" w:rsidR="00D73F0F" w:rsidRPr="001800A5" w:rsidRDefault="00D73F0F" w:rsidP="001800A5">
      <w:pPr>
        <w:spacing w:after="0" w:line="240" w:lineRule="auto"/>
        <w:rPr>
          <w:rFonts w:cs="Times New Roman"/>
          <w:noProof/>
        </w:rPr>
      </w:pPr>
      <w:bookmarkStart w:id="19" w:name="_ENREF_19"/>
      <w:r w:rsidRPr="001800A5">
        <w:rPr>
          <w:rFonts w:cs="Times New Roman"/>
          <w:noProof/>
        </w:rPr>
        <w:t>19.</w:t>
      </w:r>
      <w:r w:rsidRPr="001800A5">
        <w:rPr>
          <w:rFonts w:cs="Times New Roman"/>
          <w:noProof/>
        </w:rPr>
        <w:tab/>
        <w:t>GAVI. What are the Health System Building Blocks? Project Fact Sheet No.5. 2013 [1 April 2023]; Available from: https://hssfactsheets.weebly.com/uploads/4/8/1/1/48110245/gavi_cso_fact_sheet_no_5_building_blocks.pdf.</w:t>
      </w:r>
      <w:bookmarkEnd w:id="19"/>
    </w:p>
    <w:p w14:paraId="675EB1E4" w14:textId="77777777" w:rsidR="00D73F0F" w:rsidRPr="001800A5" w:rsidRDefault="00D73F0F" w:rsidP="001800A5">
      <w:pPr>
        <w:spacing w:after="0" w:line="240" w:lineRule="auto"/>
        <w:rPr>
          <w:rFonts w:cs="Times New Roman"/>
          <w:noProof/>
        </w:rPr>
      </w:pPr>
      <w:bookmarkStart w:id="20" w:name="_ENREF_20"/>
      <w:r w:rsidRPr="001800A5">
        <w:rPr>
          <w:rFonts w:cs="Times New Roman"/>
          <w:noProof/>
        </w:rPr>
        <w:t>20.</w:t>
      </w:r>
      <w:r w:rsidRPr="001800A5">
        <w:rPr>
          <w:rFonts w:cs="Times New Roman"/>
          <w:noProof/>
        </w:rPr>
        <w:tab/>
        <w:t>Suter E, Oelke ND, da Silva Lima MAD, Stiphout M, Janke R, Witt RR, et al. Indicators and Measurement Tools for Health Systems Integration: A Knowledge Synthesis. Int J Integr Care. 2017;17(6):4. Epub 2018/03/29. DOI: 10.5334/ijic.3931</w:t>
      </w:r>
      <w:bookmarkEnd w:id="20"/>
    </w:p>
    <w:p w14:paraId="675EB1E5" w14:textId="77777777" w:rsidR="00D73F0F" w:rsidRPr="001800A5" w:rsidRDefault="00D73F0F" w:rsidP="001800A5">
      <w:pPr>
        <w:spacing w:after="0" w:line="240" w:lineRule="auto"/>
        <w:rPr>
          <w:rFonts w:cs="Times New Roman"/>
          <w:noProof/>
        </w:rPr>
      </w:pPr>
      <w:bookmarkStart w:id="21" w:name="_ENREF_21"/>
      <w:r w:rsidRPr="001800A5">
        <w:rPr>
          <w:rFonts w:cs="Times New Roman"/>
          <w:noProof/>
        </w:rPr>
        <w:t>21.</w:t>
      </w:r>
      <w:r w:rsidRPr="001800A5">
        <w:rPr>
          <w:rFonts w:cs="Times New Roman"/>
          <w:noProof/>
        </w:rPr>
        <w:tab/>
        <w:t>World Health Organization. Quality of care : a process for making strategic choices in health systems. Geneva: World Health Organization; 2006 [1 April 2023]; Available from: https://apps.who.int/iris/handle/10665/43470.</w:t>
      </w:r>
      <w:bookmarkEnd w:id="21"/>
    </w:p>
    <w:p w14:paraId="675EB1E6" w14:textId="77777777" w:rsidR="00D73F0F" w:rsidRPr="001800A5" w:rsidRDefault="00D73F0F" w:rsidP="001800A5">
      <w:pPr>
        <w:spacing w:after="0" w:line="240" w:lineRule="auto"/>
        <w:rPr>
          <w:rFonts w:cs="Times New Roman"/>
          <w:noProof/>
        </w:rPr>
      </w:pPr>
      <w:bookmarkStart w:id="22" w:name="_ENREF_22"/>
      <w:r w:rsidRPr="001800A5">
        <w:rPr>
          <w:rFonts w:cs="Times New Roman"/>
          <w:noProof/>
        </w:rPr>
        <w:lastRenderedPageBreak/>
        <w:t>22.</w:t>
      </w:r>
      <w:r w:rsidRPr="001800A5">
        <w:rPr>
          <w:rFonts w:cs="Times New Roman"/>
          <w:noProof/>
        </w:rPr>
        <w:tab/>
        <w:t>Harolds JA. Quality and Safety in Health Care, Part VI: More on Crossing the Quality Chasm. Clin Nucl Med. 2016;41(1):41-3. Epub 2015/10/09. DOI: 10.1097/RLU.0000000000001012</w:t>
      </w:r>
      <w:bookmarkEnd w:id="22"/>
    </w:p>
    <w:p w14:paraId="675EB1E7" w14:textId="77777777" w:rsidR="00D73F0F" w:rsidRPr="001800A5" w:rsidRDefault="00D73F0F" w:rsidP="001800A5">
      <w:pPr>
        <w:spacing w:after="0" w:line="240" w:lineRule="auto"/>
        <w:rPr>
          <w:rFonts w:cs="Times New Roman"/>
          <w:noProof/>
        </w:rPr>
      </w:pPr>
      <w:bookmarkStart w:id="23" w:name="_ENREF_23"/>
      <w:r w:rsidRPr="001800A5">
        <w:rPr>
          <w:rFonts w:cs="Times New Roman"/>
          <w:noProof/>
        </w:rPr>
        <w:t>23.</w:t>
      </w:r>
      <w:r w:rsidRPr="001800A5">
        <w:rPr>
          <w:rFonts w:cs="Times New Roman"/>
          <w:noProof/>
        </w:rPr>
        <w:tab/>
        <w:t>Stumm J, Thierbach C, Peter L, Schnitzer S, Dini L, Heintze C, et al. Coordination of care for multimorbid patients from the perspective of general practitioners - a qualitative study. BMC Fam Pract. 2019;20(1):160. Epub 2019/11/22. DOI: 10.1186/s12875-019-1048-y</w:t>
      </w:r>
      <w:bookmarkEnd w:id="23"/>
    </w:p>
    <w:p w14:paraId="675EB1E8" w14:textId="77777777" w:rsidR="00D73F0F" w:rsidRPr="001800A5" w:rsidRDefault="00D73F0F" w:rsidP="001800A5">
      <w:pPr>
        <w:spacing w:after="0" w:line="240" w:lineRule="auto"/>
        <w:rPr>
          <w:rFonts w:cs="Times New Roman"/>
          <w:noProof/>
        </w:rPr>
      </w:pPr>
      <w:bookmarkStart w:id="24" w:name="_ENREF_24"/>
      <w:r w:rsidRPr="001800A5">
        <w:rPr>
          <w:rFonts w:cs="Times New Roman"/>
          <w:noProof/>
        </w:rPr>
        <w:t>24.</w:t>
      </w:r>
      <w:r w:rsidRPr="001800A5">
        <w:rPr>
          <w:rFonts w:cs="Times New Roman"/>
          <w:noProof/>
        </w:rPr>
        <w:tab/>
        <w:t>World Health Organization, PEPFAR, UNAIDS. Task shifting : rational redistribution of tasks among health workforce teams : global recommendations and guidelines. Geneva: World Health Organization; 2007 [1 April 2023]; Available from: https://apps.who.int/iris/handle/10665/43821.</w:t>
      </w:r>
      <w:bookmarkEnd w:id="24"/>
    </w:p>
    <w:p w14:paraId="675EB1E9" w14:textId="77777777" w:rsidR="00D73F0F" w:rsidRPr="001800A5" w:rsidRDefault="00D73F0F" w:rsidP="001800A5">
      <w:pPr>
        <w:spacing w:after="0" w:line="240" w:lineRule="auto"/>
        <w:rPr>
          <w:rFonts w:cs="Times New Roman"/>
          <w:noProof/>
        </w:rPr>
      </w:pPr>
      <w:bookmarkStart w:id="25" w:name="_ENREF_25"/>
      <w:r w:rsidRPr="001800A5">
        <w:rPr>
          <w:rFonts w:cs="Times New Roman"/>
          <w:noProof/>
        </w:rPr>
        <w:t>25.</w:t>
      </w:r>
      <w:r w:rsidRPr="001800A5">
        <w:rPr>
          <w:rFonts w:cs="Times New Roman"/>
          <w:noProof/>
        </w:rPr>
        <w:tab/>
        <w:t>Chen L, Evans T, Anand S, Boufford JI, Brown H, Chowdhury M, et al. Human resources for health: overcoming the crisis. Lancet. 2004;364(9449):1984-90. Epub 2004/11/30. DOI: 10.1016/S0140-6736(04)17482-5</w:t>
      </w:r>
      <w:bookmarkEnd w:id="25"/>
    </w:p>
    <w:p w14:paraId="675EB1EA" w14:textId="77777777" w:rsidR="00D73F0F" w:rsidRPr="00EB61E8" w:rsidRDefault="00D73F0F" w:rsidP="001800A5">
      <w:pPr>
        <w:spacing w:after="0" w:line="240" w:lineRule="auto"/>
        <w:rPr>
          <w:rFonts w:cs="Times New Roman"/>
          <w:noProof/>
          <w:lang w:val="nl-BE"/>
        </w:rPr>
      </w:pPr>
      <w:bookmarkStart w:id="26" w:name="_ENREF_26"/>
      <w:r w:rsidRPr="001800A5">
        <w:rPr>
          <w:rFonts w:cs="Times New Roman"/>
          <w:noProof/>
        </w:rPr>
        <w:t>26.</w:t>
      </w:r>
      <w:r w:rsidRPr="001800A5">
        <w:rPr>
          <w:rFonts w:cs="Times New Roman"/>
          <w:noProof/>
        </w:rPr>
        <w:tab/>
        <w:t xml:space="preserve">Leong SL, Teoh SL, Fun WH, Lee SWH. Task shifting in primary care to tackle healthcare worker shortages: An umbrella review. </w:t>
      </w:r>
      <w:r w:rsidRPr="00EB61E8">
        <w:rPr>
          <w:rFonts w:cs="Times New Roman"/>
          <w:noProof/>
          <w:lang w:val="nl-BE"/>
        </w:rPr>
        <w:t>Eur J Gen Pract. 2021;27(1):198-210. Epub 2021/08/03. DOI: 10.1080/13814788.2021.1954616</w:t>
      </w:r>
      <w:bookmarkEnd w:id="26"/>
    </w:p>
    <w:p w14:paraId="675EB1EB" w14:textId="77777777" w:rsidR="00D73F0F" w:rsidRPr="001800A5" w:rsidRDefault="00D73F0F" w:rsidP="001800A5">
      <w:pPr>
        <w:spacing w:after="0" w:line="240" w:lineRule="auto"/>
        <w:rPr>
          <w:rFonts w:cs="Times New Roman"/>
          <w:noProof/>
        </w:rPr>
      </w:pPr>
      <w:bookmarkStart w:id="27" w:name="_ENREF_27"/>
      <w:r w:rsidRPr="00EB61E8">
        <w:rPr>
          <w:rFonts w:cs="Times New Roman"/>
          <w:noProof/>
          <w:lang w:val="nl-BE"/>
        </w:rPr>
        <w:t>27.</w:t>
      </w:r>
      <w:r w:rsidRPr="00EB61E8">
        <w:rPr>
          <w:rFonts w:cs="Times New Roman"/>
          <w:noProof/>
          <w:lang w:val="nl-BE"/>
        </w:rPr>
        <w:tab/>
        <w:t xml:space="preserve">van Schalkwyk MC, Bourek A, Kringos DS, Siciliani L, Barry MM, De Maeseneer J, et al. </w:t>
      </w:r>
      <w:r w:rsidRPr="001800A5">
        <w:rPr>
          <w:rFonts w:cs="Times New Roman"/>
          <w:noProof/>
        </w:rPr>
        <w:t>The best person (or machine) for the job: Rethinking task shifting in healthcare. Health Policy. 2020;124(12):1379-86. Epub 2020/09/10. DOI: 10.1016/j.healthpol.2020.08.008</w:t>
      </w:r>
      <w:bookmarkEnd w:id="27"/>
    </w:p>
    <w:p w14:paraId="675EB1EC" w14:textId="77777777" w:rsidR="00D73F0F" w:rsidRPr="001800A5" w:rsidRDefault="00D73F0F" w:rsidP="001800A5">
      <w:pPr>
        <w:spacing w:after="0" w:line="240" w:lineRule="auto"/>
        <w:rPr>
          <w:rFonts w:cs="Times New Roman"/>
          <w:noProof/>
        </w:rPr>
      </w:pPr>
      <w:bookmarkStart w:id="28" w:name="_ENREF_28"/>
      <w:r w:rsidRPr="001800A5">
        <w:rPr>
          <w:rFonts w:cs="Times New Roman"/>
          <w:noProof/>
        </w:rPr>
        <w:t>28.</w:t>
      </w:r>
      <w:r w:rsidRPr="001800A5">
        <w:rPr>
          <w:rFonts w:cs="Times New Roman"/>
          <w:noProof/>
        </w:rPr>
        <w:tab/>
        <w:t>Savigny Dd, Adam T, Alliance for Health Policy Systems Research, World Health Organization. Systems thinking for health systems strengthening / edited by Don de Savigny and Taghreed Adam. Geneva: World Health Organization; 2009 [1 April 2023]; Available from: https://apps.who.int/iris/handle/10665/44204.</w:t>
      </w:r>
      <w:bookmarkEnd w:id="28"/>
    </w:p>
    <w:p w14:paraId="675EB1ED" w14:textId="77777777" w:rsidR="00D73F0F" w:rsidRPr="001800A5" w:rsidRDefault="00D73F0F" w:rsidP="001800A5">
      <w:pPr>
        <w:spacing w:line="240" w:lineRule="auto"/>
        <w:rPr>
          <w:rFonts w:cs="Times New Roman"/>
          <w:noProof/>
        </w:rPr>
      </w:pPr>
      <w:bookmarkStart w:id="29" w:name="_ENREF_29"/>
      <w:r w:rsidRPr="001800A5">
        <w:rPr>
          <w:rFonts w:cs="Times New Roman"/>
          <w:noProof/>
        </w:rPr>
        <w:t>29.</w:t>
      </w:r>
      <w:r w:rsidRPr="001800A5">
        <w:rPr>
          <w:rFonts w:cs="Times New Roman"/>
          <w:noProof/>
        </w:rPr>
        <w:tab/>
        <w:t>Mounier-Jack S, Griffiths UK, Closser S, Burchett H, Marchal B. Measuring the health systems impact of disease control programmes: a critical reflection on the WHO building blocks framework. BMC Public Health. 2014;14:278. Epub 2014/03/29. DOI: 10.1186/1471-2458-14-278</w:t>
      </w:r>
      <w:bookmarkEnd w:id="29"/>
    </w:p>
    <w:p w14:paraId="675EB1EE" w14:textId="77777777" w:rsidR="00D73F0F" w:rsidRDefault="00D73F0F" w:rsidP="001800A5">
      <w:pPr>
        <w:spacing w:line="240" w:lineRule="auto"/>
        <w:rPr>
          <w:rFonts w:cs="Times New Roman"/>
          <w:noProof/>
        </w:rPr>
      </w:pPr>
    </w:p>
    <w:p w14:paraId="675EB1EF" w14:textId="77777777" w:rsidR="00D73F0F" w:rsidRPr="003B38AC" w:rsidRDefault="00D73F0F" w:rsidP="003B38AC"/>
    <w:p w14:paraId="675EB1F0" w14:textId="77777777" w:rsidR="00EC6107" w:rsidRDefault="00EC6107"/>
    <w:sectPr w:rsidR="00EC6107" w:rsidSect="003B38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docs-Calibri">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25904"/>
    <w:multiLevelType w:val="multilevel"/>
    <w:tmpl w:val="8F7E43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1ED6C28"/>
    <w:multiLevelType w:val="multilevel"/>
    <w:tmpl w:val="F1A2714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5DC4997"/>
    <w:multiLevelType w:val="hybridMultilevel"/>
    <w:tmpl w:val="DB586D2E"/>
    <w:lvl w:ilvl="0" w:tplc="EDB25A68">
      <w:start w:val="1"/>
      <w:numFmt w:val="bullet"/>
      <w:lvlText w:val="•"/>
      <w:lvlJc w:val="left"/>
      <w:pPr>
        <w:tabs>
          <w:tab w:val="num" w:pos="720"/>
        </w:tabs>
        <w:ind w:left="720" w:hanging="360"/>
      </w:pPr>
      <w:rPr>
        <w:rFonts w:ascii="Arial" w:hAnsi="Arial" w:hint="default"/>
      </w:rPr>
    </w:lvl>
    <w:lvl w:ilvl="1" w:tplc="D1147B54" w:tentative="1">
      <w:start w:val="1"/>
      <w:numFmt w:val="bullet"/>
      <w:lvlText w:val="•"/>
      <w:lvlJc w:val="left"/>
      <w:pPr>
        <w:tabs>
          <w:tab w:val="num" w:pos="1440"/>
        </w:tabs>
        <w:ind w:left="1440" w:hanging="360"/>
      </w:pPr>
      <w:rPr>
        <w:rFonts w:ascii="Arial" w:hAnsi="Arial" w:hint="default"/>
      </w:rPr>
    </w:lvl>
    <w:lvl w:ilvl="2" w:tplc="A10271FA" w:tentative="1">
      <w:start w:val="1"/>
      <w:numFmt w:val="bullet"/>
      <w:lvlText w:val="•"/>
      <w:lvlJc w:val="left"/>
      <w:pPr>
        <w:tabs>
          <w:tab w:val="num" w:pos="2160"/>
        </w:tabs>
        <w:ind w:left="2160" w:hanging="360"/>
      </w:pPr>
      <w:rPr>
        <w:rFonts w:ascii="Arial" w:hAnsi="Arial" w:hint="default"/>
      </w:rPr>
    </w:lvl>
    <w:lvl w:ilvl="3" w:tplc="148EE2C8" w:tentative="1">
      <w:start w:val="1"/>
      <w:numFmt w:val="bullet"/>
      <w:lvlText w:val="•"/>
      <w:lvlJc w:val="left"/>
      <w:pPr>
        <w:tabs>
          <w:tab w:val="num" w:pos="2880"/>
        </w:tabs>
        <w:ind w:left="2880" w:hanging="360"/>
      </w:pPr>
      <w:rPr>
        <w:rFonts w:ascii="Arial" w:hAnsi="Arial" w:hint="default"/>
      </w:rPr>
    </w:lvl>
    <w:lvl w:ilvl="4" w:tplc="9CE23584" w:tentative="1">
      <w:start w:val="1"/>
      <w:numFmt w:val="bullet"/>
      <w:lvlText w:val="•"/>
      <w:lvlJc w:val="left"/>
      <w:pPr>
        <w:tabs>
          <w:tab w:val="num" w:pos="3600"/>
        </w:tabs>
        <w:ind w:left="3600" w:hanging="360"/>
      </w:pPr>
      <w:rPr>
        <w:rFonts w:ascii="Arial" w:hAnsi="Arial" w:hint="default"/>
      </w:rPr>
    </w:lvl>
    <w:lvl w:ilvl="5" w:tplc="7542C8F0" w:tentative="1">
      <w:start w:val="1"/>
      <w:numFmt w:val="bullet"/>
      <w:lvlText w:val="•"/>
      <w:lvlJc w:val="left"/>
      <w:pPr>
        <w:tabs>
          <w:tab w:val="num" w:pos="4320"/>
        </w:tabs>
        <w:ind w:left="4320" w:hanging="360"/>
      </w:pPr>
      <w:rPr>
        <w:rFonts w:ascii="Arial" w:hAnsi="Arial" w:hint="default"/>
      </w:rPr>
    </w:lvl>
    <w:lvl w:ilvl="6" w:tplc="220EE60C" w:tentative="1">
      <w:start w:val="1"/>
      <w:numFmt w:val="bullet"/>
      <w:lvlText w:val="•"/>
      <w:lvlJc w:val="left"/>
      <w:pPr>
        <w:tabs>
          <w:tab w:val="num" w:pos="5040"/>
        </w:tabs>
        <w:ind w:left="5040" w:hanging="360"/>
      </w:pPr>
      <w:rPr>
        <w:rFonts w:ascii="Arial" w:hAnsi="Arial" w:hint="default"/>
      </w:rPr>
    </w:lvl>
    <w:lvl w:ilvl="7" w:tplc="15DA9DCE" w:tentative="1">
      <w:start w:val="1"/>
      <w:numFmt w:val="bullet"/>
      <w:lvlText w:val="•"/>
      <w:lvlJc w:val="left"/>
      <w:pPr>
        <w:tabs>
          <w:tab w:val="num" w:pos="5760"/>
        </w:tabs>
        <w:ind w:left="5760" w:hanging="360"/>
      </w:pPr>
      <w:rPr>
        <w:rFonts w:ascii="Arial" w:hAnsi="Arial" w:hint="default"/>
      </w:rPr>
    </w:lvl>
    <w:lvl w:ilvl="8" w:tplc="7BE80AC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75B039D"/>
    <w:multiLevelType w:val="multilevel"/>
    <w:tmpl w:val="9A6477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B564558"/>
    <w:multiLevelType w:val="multilevel"/>
    <w:tmpl w:val="E9F01D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F533214"/>
    <w:multiLevelType w:val="multilevel"/>
    <w:tmpl w:val="B2C60C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19D7E32"/>
    <w:multiLevelType w:val="hybridMultilevel"/>
    <w:tmpl w:val="40789BC6"/>
    <w:lvl w:ilvl="0" w:tplc="E034D8BC">
      <w:start w:val="2"/>
      <w:numFmt w:val="bullet"/>
      <w:lvlText w:val="-"/>
      <w:lvlJc w:val="left"/>
      <w:pPr>
        <w:ind w:left="720" w:hanging="360"/>
      </w:pPr>
      <w:rPr>
        <w:rFonts w:ascii="Times New Roman" w:eastAsiaTheme="minorHAnsi" w:hAnsi="Times New Roman" w:cs="Times New Roman"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41F507B4"/>
    <w:multiLevelType w:val="multilevel"/>
    <w:tmpl w:val="5644D91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42CE1657"/>
    <w:multiLevelType w:val="multilevel"/>
    <w:tmpl w:val="5C2216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437F0EF1"/>
    <w:multiLevelType w:val="multilevel"/>
    <w:tmpl w:val="B7C817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6805BA2"/>
    <w:multiLevelType w:val="multilevel"/>
    <w:tmpl w:val="4254DD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4C01135D"/>
    <w:multiLevelType w:val="multilevel"/>
    <w:tmpl w:val="3A6006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CCB5FA1"/>
    <w:multiLevelType w:val="multilevel"/>
    <w:tmpl w:val="ECCC17DA"/>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6262853"/>
    <w:multiLevelType w:val="multilevel"/>
    <w:tmpl w:val="6518A98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 w15:restartNumberingAfterBreak="0">
    <w:nsid w:val="576E662C"/>
    <w:multiLevelType w:val="multilevel"/>
    <w:tmpl w:val="F66AE2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8935642"/>
    <w:multiLevelType w:val="hybridMultilevel"/>
    <w:tmpl w:val="9AB8237C"/>
    <w:lvl w:ilvl="0" w:tplc="D0D62C96">
      <w:start w:val="1"/>
      <w:numFmt w:val="bullet"/>
      <w:lvlText w:val=""/>
      <w:lvlJc w:val="left"/>
      <w:pPr>
        <w:tabs>
          <w:tab w:val="num" w:pos="720"/>
        </w:tabs>
        <w:ind w:left="720" w:hanging="360"/>
      </w:pPr>
      <w:rPr>
        <w:rFonts w:ascii="Wingdings" w:hAnsi="Wingdings" w:hint="default"/>
      </w:rPr>
    </w:lvl>
    <w:lvl w:ilvl="1" w:tplc="C70CA544">
      <w:numFmt w:val="bullet"/>
      <w:lvlText w:val="–"/>
      <w:lvlJc w:val="left"/>
      <w:pPr>
        <w:ind w:left="1790" w:hanging="710"/>
      </w:pPr>
      <w:rPr>
        <w:rFonts w:ascii="Times New Roman" w:eastAsiaTheme="minorHAnsi" w:hAnsi="Times New Roman" w:cs="Times New Roman" w:hint="default"/>
      </w:rPr>
    </w:lvl>
    <w:lvl w:ilvl="2" w:tplc="6194C44E" w:tentative="1">
      <w:start w:val="1"/>
      <w:numFmt w:val="bullet"/>
      <w:lvlText w:val=""/>
      <w:lvlJc w:val="left"/>
      <w:pPr>
        <w:tabs>
          <w:tab w:val="num" w:pos="2160"/>
        </w:tabs>
        <w:ind w:left="2160" w:hanging="360"/>
      </w:pPr>
      <w:rPr>
        <w:rFonts w:ascii="Wingdings" w:hAnsi="Wingdings" w:hint="default"/>
      </w:rPr>
    </w:lvl>
    <w:lvl w:ilvl="3" w:tplc="574C94E8" w:tentative="1">
      <w:start w:val="1"/>
      <w:numFmt w:val="bullet"/>
      <w:lvlText w:val=""/>
      <w:lvlJc w:val="left"/>
      <w:pPr>
        <w:tabs>
          <w:tab w:val="num" w:pos="2880"/>
        </w:tabs>
        <w:ind w:left="2880" w:hanging="360"/>
      </w:pPr>
      <w:rPr>
        <w:rFonts w:ascii="Wingdings" w:hAnsi="Wingdings" w:hint="default"/>
      </w:rPr>
    </w:lvl>
    <w:lvl w:ilvl="4" w:tplc="1A1606DC" w:tentative="1">
      <w:start w:val="1"/>
      <w:numFmt w:val="bullet"/>
      <w:lvlText w:val=""/>
      <w:lvlJc w:val="left"/>
      <w:pPr>
        <w:tabs>
          <w:tab w:val="num" w:pos="3600"/>
        </w:tabs>
        <w:ind w:left="3600" w:hanging="360"/>
      </w:pPr>
      <w:rPr>
        <w:rFonts w:ascii="Wingdings" w:hAnsi="Wingdings" w:hint="default"/>
      </w:rPr>
    </w:lvl>
    <w:lvl w:ilvl="5" w:tplc="7F22A00A" w:tentative="1">
      <w:start w:val="1"/>
      <w:numFmt w:val="bullet"/>
      <w:lvlText w:val=""/>
      <w:lvlJc w:val="left"/>
      <w:pPr>
        <w:tabs>
          <w:tab w:val="num" w:pos="4320"/>
        </w:tabs>
        <w:ind w:left="4320" w:hanging="360"/>
      </w:pPr>
      <w:rPr>
        <w:rFonts w:ascii="Wingdings" w:hAnsi="Wingdings" w:hint="default"/>
      </w:rPr>
    </w:lvl>
    <w:lvl w:ilvl="6" w:tplc="0AD0381E" w:tentative="1">
      <w:start w:val="1"/>
      <w:numFmt w:val="bullet"/>
      <w:lvlText w:val=""/>
      <w:lvlJc w:val="left"/>
      <w:pPr>
        <w:tabs>
          <w:tab w:val="num" w:pos="5040"/>
        </w:tabs>
        <w:ind w:left="5040" w:hanging="360"/>
      </w:pPr>
      <w:rPr>
        <w:rFonts w:ascii="Wingdings" w:hAnsi="Wingdings" w:hint="default"/>
      </w:rPr>
    </w:lvl>
    <w:lvl w:ilvl="7" w:tplc="34F284E2" w:tentative="1">
      <w:start w:val="1"/>
      <w:numFmt w:val="bullet"/>
      <w:lvlText w:val=""/>
      <w:lvlJc w:val="left"/>
      <w:pPr>
        <w:tabs>
          <w:tab w:val="num" w:pos="5760"/>
        </w:tabs>
        <w:ind w:left="5760" w:hanging="360"/>
      </w:pPr>
      <w:rPr>
        <w:rFonts w:ascii="Wingdings" w:hAnsi="Wingdings" w:hint="default"/>
      </w:rPr>
    </w:lvl>
    <w:lvl w:ilvl="8" w:tplc="52F4DBE2"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AEA7BAD"/>
    <w:multiLevelType w:val="multilevel"/>
    <w:tmpl w:val="C25CB9E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636C7603"/>
    <w:multiLevelType w:val="multilevel"/>
    <w:tmpl w:val="3AF41A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676B3964"/>
    <w:multiLevelType w:val="multilevel"/>
    <w:tmpl w:val="064005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6ECE2136"/>
    <w:multiLevelType w:val="multilevel"/>
    <w:tmpl w:val="B922E9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75BC019E"/>
    <w:multiLevelType w:val="multilevel"/>
    <w:tmpl w:val="8D9C26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ADF118F"/>
    <w:multiLevelType w:val="multilevel"/>
    <w:tmpl w:val="83F6D2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7D300089"/>
    <w:multiLevelType w:val="multilevel"/>
    <w:tmpl w:val="763A045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3" w15:restartNumberingAfterBreak="0">
    <w:nsid w:val="7D4B0603"/>
    <w:multiLevelType w:val="multilevel"/>
    <w:tmpl w:val="A90CD0B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7E2B1630"/>
    <w:multiLevelType w:val="hybridMultilevel"/>
    <w:tmpl w:val="CFF8E454"/>
    <w:lvl w:ilvl="0" w:tplc="D0D62C96">
      <w:start w:val="1"/>
      <w:numFmt w:val="bullet"/>
      <w:lvlText w:val=""/>
      <w:lvlJc w:val="left"/>
      <w:pPr>
        <w:tabs>
          <w:tab w:val="num" w:pos="360"/>
        </w:tabs>
        <w:ind w:left="360" w:hanging="360"/>
      </w:pPr>
      <w:rPr>
        <w:rFonts w:ascii="Wingdings" w:hAnsi="Wingdings"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5" w15:restartNumberingAfterBreak="0">
    <w:nsid w:val="7EF26A80"/>
    <w:multiLevelType w:val="multilevel"/>
    <w:tmpl w:val="216220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59855868">
    <w:abstractNumId w:val="15"/>
  </w:num>
  <w:num w:numId="2" w16cid:durableId="1063412243">
    <w:abstractNumId w:val="2"/>
  </w:num>
  <w:num w:numId="3" w16cid:durableId="1322806350">
    <w:abstractNumId w:val="24"/>
  </w:num>
  <w:num w:numId="4" w16cid:durableId="865948821">
    <w:abstractNumId w:val="9"/>
  </w:num>
  <w:num w:numId="5" w16cid:durableId="173424981">
    <w:abstractNumId w:val="22"/>
  </w:num>
  <w:num w:numId="6" w16cid:durableId="724380186">
    <w:abstractNumId w:val="20"/>
  </w:num>
  <w:num w:numId="7" w16cid:durableId="114099851">
    <w:abstractNumId w:val="12"/>
  </w:num>
  <w:num w:numId="8" w16cid:durableId="732193634">
    <w:abstractNumId w:val="7"/>
  </w:num>
  <w:num w:numId="9" w16cid:durableId="687757807">
    <w:abstractNumId w:val="19"/>
  </w:num>
  <w:num w:numId="10" w16cid:durableId="1732117819">
    <w:abstractNumId w:val="13"/>
  </w:num>
  <w:num w:numId="11" w16cid:durableId="1838182630">
    <w:abstractNumId w:val="4"/>
  </w:num>
  <w:num w:numId="12" w16cid:durableId="1060323416">
    <w:abstractNumId w:val="14"/>
  </w:num>
  <w:num w:numId="13" w16cid:durableId="1800106132">
    <w:abstractNumId w:val="0"/>
  </w:num>
  <w:num w:numId="14" w16cid:durableId="860557579">
    <w:abstractNumId w:val="1"/>
  </w:num>
  <w:num w:numId="15" w16cid:durableId="534850668">
    <w:abstractNumId w:val="5"/>
  </w:num>
  <w:num w:numId="16" w16cid:durableId="1570071469">
    <w:abstractNumId w:val="21"/>
  </w:num>
  <w:num w:numId="17" w16cid:durableId="331029665">
    <w:abstractNumId w:val="10"/>
  </w:num>
  <w:num w:numId="18" w16cid:durableId="1570309307">
    <w:abstractNumId w:val="3"/>
  </w:num>
  <w:num w:numId="19" w16cid:durableId="562496179">
    <w:abstractNumId w:val="25"/>
  </w:num>
  <w:num w:numId="20" w16cid:durableId="1836728871">
    <w:abstractNumId w:val="16"/>
  </w:num>
  <w:num w:numId="21" w16cid:durableId="1793400145">
    <w:abstractNumId w:val="18"/>
  </w:num>
  <w:num w:numId="22" w16cid:durableId="484202791">
    <w:abstractNumId w:val="17"/>
  </w:num>
  <w:num w:numId="23" w16cid:durableId="1368140490">
    <w:abstractNumId w:val="11"/>
  </w:num>
  <w:num w:numId="24" w16cid:durableId="933705165">
    <w:abstractNumId w:val="23"/>
  </w:num>
  <w:num w:numId="25" w16cid:durableId="255552077">
    <w:abstractNumId w:val="8"/>
  </w:num>
  <w:num w:numId="26" w16cid:durableId="68786957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s>
  <w:rsids>
    <w:rsidRoot w:val="00D73F0F"/>
    <w:rsid w:val="000122BA"/>
    <w:rsid w:val="00042581"/>
    <w:rsid w:val="000A52C1"/>
    <w:rsid w:val="000D2B17"/>
    <w:rsid w:val="001261D9"/>
    <w:rsid w:val="00171CE7"/>
    <w:rsid w:val="001A20A5"/>
    <w:rsid w:val="001C2A9D"/>
    <w:rsid w:val="002F7CC9"/>
    <w:rsid w:val="003B12E4"/>
    <w:rsid w:val="00665F53"/>
    <w:rsid w:val="00712571"/>
    <w:rsid w:val="007157D7"/>
    <w:rsid w:val="009535DC"/>
    <w:rsid w:val="00A84F6E"/>
    <w:rsid w:val="00AA53CC"/>
    <w:rsid w:val="00AB3C26"/>
    <w:rsid w:val="00BB4378"/>
    <w:rsid w:val="00BD4C8B"/>
    <w:rsid w:val="00C416C7"/>
    <w:rsid w:val="00D73F0F"/>
    <w:rsid w:val="00E357D0"/>
    <w:rsid w:val="00EB61E8"/>
    <w:rsid w:val="00EC610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EB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3F0F"/>
    <w:pPr>
      <w:spacing w:after="160" w:line="259" w:lineRule="auto"/>
    </w:pPr>
    <w:rPr>
      <w:rFonts w:ascii="Times New Roman" w:hAnsi="Times New Roman"/>
      <w:sz w:val="24"/>
      <w:lang w:val="en-GB"/>
    </w:rPr>
  </w:style>
  <w:style w:type="paragraph" w:styleId="Heading1">
    <w:name w:val="heading 1"/>
    <w:basedOn w:val="Normal"/>
    <w:next w:val="Normal"/>
    <w:link w:val="Heading1Char"/>
    <w:uiPriority w:val="9"/>
    <w:qFormat/>
    <w:rsid w:val="00D73F0F"/>
    <w:pPr>
      <w:keepNext/>
      <w:keepLines/>
      <w:spacing w:before="360" w:after="24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73F0F"/>
    <w:pPr>
      <w:keepNext/>
      <w:keepLines/>
      <w:spacing w:before="160" w:after="120"/>
      <w:outlineLvl w:val="1"/>
    </w:pPr>
    <w:rPr>
      <w:rFonts w:eastAsiaTheme="majorEastAsia" w:cstheme="majorBidi"/>
      <w:b/>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3F0F"/>
    <w:rPr>
      <w:rFonts w:ascii="Times New Roman" w:eastAsiaTheme="majorEastAsia" w:hAnsi="Times New Roman" w:cstheme="majorBidi"/>
      <w:b/>
      <w:sz w:val="32"/>
      <w:szCs w:val="32"/>
      <w:lang w:val="en-GB"/>
    </w:rPr>
  </w:style>
  <w:style w:type="character" w:customStyle="1" w:styleId="Heading2Char">
    <w:name w:val="Heading 2 Char"/>
    <w:basedOn w:val="DefaultParagraphFont"/>
    <w:link w:val="Heading2"/>
    <w:uiPriority w:val="9"/>
    <w:rsid w:val="00D73F0F"/>
    <w:rPr>
      <w:rFonts w:ascii="Times New Roman" w:eastAsiaTheme="majorEastAsia" w:hAnsi="Times New Roman" w:cstheme="majorBidi"/>
      <w:b/>
      <w:color w:val="365F91" w:themeColor="accent1" w:themeShade="BF"/>
      <w:sz w:val="26"/>
      <w:szCs w:val="26"/>
      <w:lang w:val="en-GB"/>
    </w:rPr>
  </w:style>
  <w:style w:type="paragraph" w:styleId="ListParagraph">
    <w:name w:val="List Paragraph"/>
    <w:basedOn w:val="Normal"/>
    <w:uiPriority w:val="34"/>
    <w:qFormat/>
    <w:rsid w:val="00D73F0F"/>
    <w:pPr>
      <w:ind w:left="720"/>
      <w:contextualSpacing/>
    </w:pPr>
  </w:style>
  <w:style w:type="table" w:styleId="TableGrid">
    <w:name w:val="Table Grid"/>
    <w:basedOn w:val="TableNormal"/>
    <w:uiPriority w:val="39"/>
    <w:rsid w:val="00D73F0F"/>
    <w:pPr>
      <w:spacing w:line="240" w:lineRule="auto"/>
    </w:pPr>
    <w:rPr>
      <w:rFonts w:ascii="Times New Roman" w:hAnsi="Times New Roman"/>
      <w:sz w:val="24"/>
      <w:lang w:val="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73F0F"/>
    <w:rPr>
      <w:sz w:val="16"/>
      <w:szCs w:val="16"/>
    </w:rPr>
  </w:style>
  <w:style w:type="paragraph" w:styleId="CommentText">
    <w:name w:val="annotation text"/>
    <w:basedOn w:val="Normal"/>
    <w:link w:val="CommentTextChar"/>
    <w:uiPriority w:val="99"/>
    <w:unhideWhenUsed/>
    <w:rsid w:val="00D73F0F"/>
    <w:pPr>
      <w:spacing w:line="240" w:lineRule="auto"/>
    </w:pPr>
    <w:rPr>
      <w:sz w:val="20"/>
      <w:szCs w:val="20"/>
    </w:rPr>
  </w:style>
  <w:style w:type="character" w:customStyle="1" w:styleId="CommentTextChar">
    <w:name w:val="Comment Text Char"/>
    <w:basedOn w:val="DefaultParagraphFont"/>
    <w:link w:val="CommentText"/>
    <w:uiPriority w:val="99"/>
    <w:rsid w:val="00D73F0F"/>
    <w:rPr>
      <w:rFonts w:ascii="Times New Roman" w:hAnsi="Times New Roman"/>
      <w:sz w:val="20"/>
      <w:szCs w:val="20"/>
      <w:lang w:val="en-GB"/>
    </w:rPr>
  </w:style>
  <w:style w:type="paragraph" w:styleId="BalloonText">
    <w:name w:val="Balloon Text"/>
    <w:basedOn w:val="Normal"/>
    <w:link w:val="BalloonTextChar"/>
    <w:uiPriority w:val="99"/>
    <w:semiHidden/>
    <w:unhideWhenUsed/>
    <w:rsid w:val="00D73F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3F0F"/>
    <w:rPr>
      <w:rFonts w:ascii="Tahoma" w:hAnsi="Tahoma" w:cs="Tahoma"/>
      <w:sz w:val="16"/>
      <w:szCs w:val="16"/>
      <w:lang w:val="en-GB"/>
    </w:rPr>
  </w:style>
  <w:style w:type="character" w:styleId="Hyperlink">
    <w:name w:val="Hyperlink"/>
    <w:basedOn w:val="DefaultParagraphFont"/>
    <w:uiPriority w:val="99"/>
    <w:unhideWhenUsed/>
    <w:rsid w:val="00D73F0F"/>
    <w:rPr>
      <w:color w:val="0000FF" w:themeColor="hyperlink"/>
      <w:u w:val="single"/>
    </w:rPr>
  </w:style>
  <w:style w:type="paragraph" w:styleId="Revision">
    <w:name w:val="Revision"/>
    <w:hidden/>
    <w:uiPriority w:val="99"/>
    <w:semiHidden/>
    <w:rsid w:val="00D73F0F"/>
    <w:pPr>
      <w:spacing w:line="240" w:lineRule="auto"/>
    </w:pPr>
    <w:rPr>
      <w:rFonts w:ascii="Times New Roman" w:hAnsi="Times New Roman"/>
      <w:sz w:val="24"/>
      <w:lang w:val="en-GB"/>
    </w:rPr>
  </w:style>
  <w:style w:type="character" w:customStyle="1" w:styleId="UnresolvedMention1">
    <w:name w:val="Unresolved Mention1"/>
    <w:basedOn w:val="DefaultParagraphFont"/>
    <w:uiPriority w:val="99"/>
    <w:unhideWhenUsed/>
    <w:rsid w:val="00D73F0F"/>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D73F0F"/>
    <w:rPr>
      <w:b/>
      <w:bCs/>
    </w:rPr>
  </w:style>
  <w:style w:type="character" w:customStyle="1" w:styleId="CommentSubjectChar">
    <w:name w:val="Comment Subject Char"/>
    <w:basedOn w:val="CommentTextChar"/>
    <w:link w:val="CommentSubject"/>
    <w:uiPriority w:val="99"/>
    <w:semiHidden/>
    <w:rsid w:val="00D73F0F"/>
    <w:rPr>
      <w:rFonts w:ascii="Times New Roman" w:hAnsi="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D1A92565AC284CAECDA0EBB89A4E35" ma:contentTypeVersion="14" ma:contentTypeDescription="Create a new document." ma:contentTypeScope="" ma:versionID="48a3b89d3f562600183dd01262ff7d2b">
  <xsd:schema xmlns:xsd="http://www.w3.org/2001/XMLSchema" xmlns:xs="http://www.w3.org/2001/XMLSchema" xmlns:p="http://schemas.microsoft.com/office/2006/metadata/properties" xmlns:ns3="869d5105-6494-4ef4-9fac-8101ddf9fc8a" xmlns:ns4="5e73fe6c-a3fb-4f0e-acb4-6ffe00cfaadc" targetNamespace="http://schemas.microsoft.com/office/2006/metadata/properties" ma:root="true" ma:fieldsID="0bd9e9b296290d904791f54dd516ef42" ns3:_="" ns4:_="">
    <xsd:import namespace="869d5105-6494-4ef4-9fac-8101ddf9fc8a"/>
    <xsd:import namespace="5e73fe6c-a3fb-4f0e-acb4-6ffe00cfaad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9d5105-6494-4ef4-9fac-8101ddf9fc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e73fe6c-a3fb-4f0e-acb4-6ffe00cfaad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869d5105-6494-4ef4-9fac-8101ddf9fc8a" xsi:nil="true"/>
  </documentManagement>
</p:properties>
</file>

<file path=customXml/itemProps1.xml><?xml version="1.0" encoding="utf-8"?>
<ds:datastoreItem xmlns:ds="http://schemas.openxmlformats.org/officeDocument/2006/customXml" ds:itemID="{3D494814-23FC-40BF-AADE-0F5FAB6C93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9d5105-6494-4ef4-9fac-8101ddf9fc8a"/>
    <ds:schemaRef ds:uri="5e73fe6c-a3fb-4f0e-acb4-6ffe00cfaa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DE338A-AB95-4ED9-937E-3D66B46171B3}">
  <ds:schemaRefs>
    <ds:schemaRef ds:uri="http://schemas.microsoft.com/sharepoint/v3/contenttype/forms"/>
  </ds:schemaRefs>
</ds:datastoreItem>
</file>

<file path=customXml/itemProps3.xml><?xml version="1.0" encoding="utf-8"?>
<ds:datastoreItem xmlns:ds="http://schemas.openxmlformats.org/officeDocument/2006/customXml" ds:itemID="{76389ED7-F49B-4221-AFC0-C3B67584689B}">
  <ds:schemaRefs>
    <ds:schemaRef ds:uri="http://www.w3.org/XML/1998/namespace"/>
    <ds:schemaRef ds:uri="http://schemas.openxmlformats.org/package/2006/metadata/core-properties"/>
    <ds:schemaRef ds:uri="http://purl.org/dc/elements/1.1/"/>
    <ds:schemaRef ds:uri="http://schemas.microsoft.com/office/2006/documentManagement/types"/>
    <ds:schemaRef ds:uri="http://schemas.microsoft.com/office/2006/metadata/properties"/>
    <ds:schemaRef ds:uri="http://purl.org/dc/terms/"/>
    <ds:schemaRef ds:uri="5e73fe6c-a3fb-4f0e-acb4-6ffe00cfaadc"/>
    <ds:schemaRef ds:uri="http://schemas.microsoft.com/office/infopath/2007/PartnerControls"/>
    <ds:schemaRef ds:uri="869d5105-6494-4ef4-9fac-8101ddf9fc8a"/>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3823</Words>
  <Characters>21795</Characters>
  <Application>Microsoft Office Word</Application>
  <DocSecurity>0</DocSecurity>
  <Lines>181</Lines>
  <Paragraphs>51</Paragraphs>
  <ScaleCrop>false</ScaleCrop>
  <Company/>
  <LinksUpToDate>false</LinksUpToDate>
  <CharactersWithSpaces>25567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2023-07-14T09:25:00Z</dcterms:created>
  <dcterms:modified xsi:type="dcterms:W3CDTF">2023-07-14T09:25:00Z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0x01010009D1A92565AC284CAECDA0EBB89A4E35</vt:lpwstr>
  </property>
</Properties>
</file>